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left="0" w:leftChars="0" w:firstLine="0" w:firstLineChars="0"/>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附件</w:t>
      </w:r>
      <w:r>
        <w:rPr>
          <w:rFonts w:hint="eastAsia" w:ascii="仿宋_GB2312" w:hAnsi="仿宋_GB2312" w:eastAsia="仿宋_GB2312" w:cs="仿宋_GB2312"/>
          <w:sz w:val="24"/>
          <w:szCs w:val="24"/>
          <w:lang w:val="en-US" w:eastAsia="zh-CN"/>
        </w:rPr>
        <w:t>1：</w:t>
      </w:r>
    </w:p>
    <w:p>
      <w:pPr>
        <w:adjustRightInd w:val="0"/>
        <w:snapToGrid w:val="0"/>
        <w:spacing w:line="360" w:lineRule="auto"/>
        <w:ind w:left="0" w:leftChars="0" w:firstLine="0" w:firstLineChars="0"/>
        <w:jc w:val="center"/>
        <w:rPr>
          <w:rFonts w:hint="eastAsia" w:ascii="黑体" w:hAnsi="黑体" w:eastAsia="黑体" w:cs="黑体"/>
          <w:sz w:val="44"/>
          <w:szCs w:val="44"/>
          <w:lang w:eastAsia="zh-CN"/>
        </w:rPr>
      </w:pPr>
      <w:r>
        <w:rPr>
          <w:rFonts w:hint="eastAsia" w:ascii="黑体" w:hAnsi="黑体" w:eastAsia="黑体" w:cs="黑体"/>
          <w:sz w:val="44"/>
          <w:szCs w:val="44"/>
        </w:rPr>
        <w:t>上海市“放心餐厅”建设标准</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2017版</w:t>
      </w:r>
      <w:r>
        <w:rPr>
          <w:rFonts w:hint="eastAsia" w:ascii="黑体" w:hAnsi="黑体" w:eastAsia="黑体" w:cs="黑体"/>
          <w:sz w:val="44"/>
          <w:szCs w:val="44"/>
          <w:lang w:eastAsia="zh-CN"/>
        </w:rPr>
        <w:t>）</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1</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实施规范管理</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1.1</w:t>
      </w:r>
      <w:r>
        <w:rPr>
          <w:rFonts w:ascii="仿宋_GB2312" w:hAnsi="仿宋" w:eastAsia="仿宋_GB2312" w:cs="Times New Roman"/>
          <w:sz w:val="30"/>
          <w:szCs w:val="30"/>
        </w:rPr>
        <w:tab/>
      </w:r>
      <w:r>
        <w:rPr>
          <w:rFonts w:hint="eastAsia" w:ascii="仿宋_GB2312" w:hAnsi="仿宋" w:eastAsia="仿宋_GB2312" w:cs="Times New Roman"/>
          <w:sz w:val="30"/>
          <w:szCs w:val="30"/>
        </w:rPr>
        <w:t>食品安全管理制度齐全，确保食品原料新鲜、加工过程生熟分开，食品烧熟煮透。</w:t>
      </w:r>
    </w:p>
    <w:p>
      <w:pPr>
        <w:adjustRightInd w:val="0"/>
        <w:snapToGrid w:val="0"/>
        <w:spacing w:line="360" w:lineRule="auto"/>
        <w:ind w:firstLine="569"/>
        <w:jc w:val="left"/>
        <w:rPr>
          <w:rFonts w:hint="eastAsia" w:ascii="仿宋_GB2312" w:hAnsi="仿宋" w:eastAsia="仿宋_GB2312" w:cs="Times New Roman"/>
          <w:sz w:val="30"/>
          <w:szCs w:val="30"/>
        </w:rPr>
      </w:pPr>
      <w:r>
        <w:rPr>
          <w:rFonts w:ascii="仿宋_GB2312" w:hAnsi="仿宋" w:eastAsia="仿宋_GB2312" w:cs="Times New Roman"/>
          <w:sz w:val="30"/>
          <w:szCs w:val="30"/>
        </w:rPr>
        <w:t>1.2</w:t>
      </w:r>
      <w:r>
        <w:rPr>
          <w:rFonts w:ascii="仿宋_GB2312" w:hAnsi="仿宋" w:eastAsia="仿宋_GB2312" w:cs="Times New Roman"/>
          <w:sz w:val="30"/>
          <w:szCs w:val="30"/>
        </w:rPr>
        <w:tab/>
      </w:r>
      <w:r>
        <w:rPr>
          <w:rFonts w:hint="eastAsia" w:ascii="仿宋_GB2312" w:hAnsi="仿宋" w:eastAsia="仿宋_GB2312" w:cs="Times New Roman"/>
          <w:sz w:val="30"/>
          <w:szCs w:val="30"/>
        </w:rPr>
        <w:t>实施了经监管部门、行业协会、第三方机构评定的食品安全</w:t>
      </w:r>
      <w:r>
        <w:rPr>
          <w:rFonts w:ascii="仿宋_GB2312" w:hAnsi="仿宋" w:eastAsia="仿宋_GB2312" w:cs="Times New Roman"/>
          <w:sz w:val="30"/>
          <w:szCs w:val="30"/>
        </w:rPr>
        <w:t>ABC规范化管理、“五常”、“六T”、危害分析关键控制点（</w:t>
      </w:r>
      <w:r>
        <w:rPr>
          <w:rFonts w:hint="eastAsia" w:ascii="仿宋_GB2312" w:hAnsi="仿宋" w:eastAsia="仿宋_GB2312" w:cs="Times New Roman"/>
          <w:sz w:val="30"/>
          <w:szCs w:val="30"/>
        </w:rPr>
        <w:t>HACCP）等先进管理体系或企业自行建立且在行业内普遍认同的先进管理体系</w:t>
      </w:r>
      <w:r>
        <w:rPr>
          <w:rFonts w:hint="eastAsia" w:ascii="仿宋_GB2312" w:hAnsi="仿宋" w:eastAsia="仿宋_GB2312" w:cs="Times New Roman"/>
          <w:sz w:val="30"/>
          <w:szCs w:val="30"/>
          <w:lang w:eastAsia="zh-CN"/>
        </w:rPr>
        <w:t>。管理体系持久</w:t>
      </w:r>
      <w:r>
        <w:rPr>
          <w:rFonts w:hint="eastAsia" w:ascii="仿宋_GB2312" w:hAnsi="仿宋" w:eastAsia="仿宋_GB2312" w:cs="Times New Roman"/>
          <w:sz w:val="30"/>
          <w:szCs w:val="30"/>
        </w:rPr>
        <w:t>保持良好运行。</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 xml:space="preserve">1.3 </w:t>
      </w:r>
      <w:r>
        <w:rPr>
          <w:rFonts w:ascii="仿宋_GB2312" w:hAnsi="仿宋" w:eastAsia="仿宋_GB2312" w:cs="Times New Roman"/>
          <w:sz w:val="30"/>
          <w:szCs w:val="30"/>
        </w:rPr>
        <w:tab/>
      </w:r>
      <w:r>
        <w:rPr>
          <w:rFonts w:hint="eastAsia" w:ascii="仿宋_GB2312" w:hAnsi="仿宋" w:eastAsia="仿宋_GB2312" w:cs="Times New Roman"/>
          <w:sz w:val="30"/>
          <w:szCs w:val="30"/>
          <w:lang w:eastAsia="zh-CN"/>
        </w:rPr>
        <w:t>餐厅</w:t>
      </w:r>
      <w:r>
        <w:rPr>
          <w:rFonts w:hint="eastAsia" w:ascii="仿宋_GB2312" w:hAnsi="仿宋" w:eastAsia="仿宋_GB2312" w:cs="Times New Roman"/>
          <w:sz w:val="30"/>
          <w:szCs w:val="30"/>
        </w:rPr>
        <w:t>负责人、食品安全管理人员和食品从业人员经食品安全培训考核合格后上岗。</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 xml:space="preserve">1.4 </w:t>
      </w:r>
      <w:r>
        <w:rPr>
          <w:rFonts w:ascii="仿宋_GB2312" w:hAnsi="仿宋" w:eastAsia="仿宋_GB2312" w:cs="Times New Roman"/>
          <w:sz w:val="30"/>
          <w:szCs w:val="30"/>
        </w:rPr>
        <w:tab/>
      </w:r>
      <w:r>
        <w:rPr>
          <w:rFonts w:hint="eastAsia" w:ascii="仿宋_GB2312" w:hAnsi="仿宋" w:eastAsia="仿宋_GB2312" w:cs="Times New Roman"/>
          <w:sz w:val="30"/>
          <w:szCs w:val="30"/>
        </w:rPr>
        <w:t>营业时段内食品安全管理人员在岗开展现场管理。</w:t>
      </w:r>
    </w:p>
    <w:p>
      <w:pPr>
        <w:adjustRightInd w:val="0"/>
        <w:snapToGrid w:val="0"/>
        <w:spacing w:line="360" w:lineRule="auto"/>
        <w:ind w:firstLine="565"/>
        <w:jc w:val="left"/>
        <w:rPr>
          <w:rFonts w:ascii="楷体_GB2312" w:hAnsi="仿宋" w:eastAsia="楷体_GB2312" w:cs="Times New Roman"/>
          <w:b/>
          <w:bCs/>
          <w:sz w:val="30"/>
          <w:szCs w:val="30"/>
        </w:rPr>
      </w:pPr>
      <w:r>
        <w:rPr>
          <w:rFonts w:ascii="楷体_GB2312" w:hAnsi="仿宋" w:eastAsia="楷体_GB2312" w:cs="Times New Roman"/>
          <w:b/>
          <w:bCs/>
          <w:sz w:val="30"/>
          <w:szCs w:val="30"/>
        </w:rPr>
        <w:t>2</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实施“明厨亮灶”</w:t>
      </w:r>
    </w:p>
    <w:p>
      <w:pPr>
        <w:adjustRightInd w:val="0"/>
        <w:snapToGrid w:val="0"/>
        <w:spacing w:line="360" w:lineRule="auto"/>
        <w:ind w:firstLine="563"/>
        <w:jc w:val="left"/>
        <w:rPr>
          <w:rFonts w:ascii="仿宋_GB2312" w:hAnsi="仿宋" w:eastAsia="仿宋_GB2312" w:cs="Times New Roman"/>
          <w:sz w:val="30"/>
          <w:szCs w:val="30"/>
        </w:rPr>
      </w:pPr>
      <w:r>
        <w:rPr>
          <w:rFonts w:hint="eastAsia" w:ascii="仿宋_GB2312" w:hAnsi="仿宋" w:eastAsia="仿宋_GB2312" w:cs="Times New Roman"/>
          <w:sz w:val="30"/>
          <w:szCs w:val="30"/>
        </w:rPr>
        <w:t>采用电子显示屏、透明玻璃墙等方式，向消费者公开食品加工烹饪、冷菜等专间制作等重点区域的食品加工操作过程。</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3</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食品可追溯</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3.1</w:t>
      </w:r>
      <w:r>
        <w:rPr>
          <w:rFonts w:ascii="仿宋_GB2312" w:hAnsi="仿宋" w:eastAsia="仿宋_GB2312" w:cs="Times New Roman"/>
          <w:sz w:val="30"/>
          <w:szCs w:val="30"/>
        </w:rPr>
        <w:tab/>
      </w:r>
      <w:r>
        <w:rPr>
          <w:rFonts w:hint="eastAsia" w:ascii="仿宋_GB2312" w:hAnsi="仿宋" w:eastAsia="仿宋_GB2312" w:cs="Times New Roman"/>
          <w:sz w:val="30"/>
          <w:szCs w:val="30"/>
        </w:rPr>
        <w:t>有稳定的食品原料供应渠道和供应商，确保食品原料来源正规，索证索票资料齐全。</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3.2</w:t>
      </w:r>
      <w:r>
        <w:rPr>
          <w:rFonts w:ascii="仿宋_GB2312" w:hAnsi="仿宋" w:eastAsia="仿宋_GB2312" w:cs="Times New Roman"/>
          <w:sz w:val="30"/>
          <w:szCs w:val="30"/>
        </w:rPr>
        <w:tab/>
      </w:r>
      <w:r>
        <w:rPr>
          <w:rFonts w:hint="eastAsia" w:ascii="仿宋_GB2312" w:hAnsi="仿宋" w:eastAsia="仿宋_GB2312" w:cs="Times New Roman"/>
          <w:sz w:val="30"/>
          <w:szCs w:val="30"/>
        </w:rPr>
        <w:t>按照《上海市食品安全信息追溯管理办法》规定，对食品和食用农产品实施信息追溯管理，并向本市“食品安全信息追溯平台”报送相关信息。</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4</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信息公开透明</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4.1</w:t>
      </w:r>
      <w:r>
        <w:rPr>
          <w:rFonts w:ascii="仿宋_GB2312" w:hAnsi="仿宋" w:eastAsia="仿宋_GB2312" w:cs="Times New Roman"/>
          <w:sz w:val="30"/>
          <w:szCs w:val="30"/>
        </w:rPr>
        <w:tab/>
      </w:r>
      <w:r>
        <w:rPr>
          <w:rFonts w:hint="eastAsia" w:ascii="仿宋_GB2312" w:hAnsi="仿宋" w:eastAsia="仿宋_GB2312" w:cs="Times New Roman"/>
          <w:sz w:val="30"/>
          <w:szCs w:val="30"/>
        </w:rPr>
        <w:t>在餐厅显著位置张贴食品安全信息公示栏，公示食品经营许可证（含餐饮服务许可证）、营业执照、监管动态等级（脸谱）、食品从业人员健康证和食品安全管理人员培训证等信息。</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4.2</w:t>
      </w:r>
      <w:r>
        <w:rPr>
          <w:rFonts w:ascii="仿宋_GB2312" w:hAnsi="仿宋" w:eastAsia="仿宋_GB2312" w:cs="Times New Roman"/>
          <w:sz w:val="30"/>
          <w:szCs w:val="30"/>
        </w:rPr>
        <w:tab/>
      </w:r>
      <w:r>
        <w:rPr>
          <w:rFonts w:hint="eastAsia" w:ascii="仿宋_GB2312" w:hAnsi="仿宋" w:eastAsia="仿宋_GB2312" w:cs="Times New Roman"/>
          <w:sz w:val="30"/>
          <w:szCs w:val="30"/>
        </w:rPr>
        <w:t>在“明厨亮灶”的电子显示屏、网站或</w:t>
      </w:r>
      <w:r>
        <w:rPr>
          <w:rFonts w:ascii="仿宋_GB2312" w:hAnsi="仿宋" w:eastAsia="仿宋_GB2312" w:cs="Times New Roman"/>
          <w:sz w:val="30"/>
          <w:szCs w:val="30"/>
        </w:rPr>
        <w:t>APP上，公示食品安全追溯、废弃油脂收运等信息。</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4.3</w:t>
      </w:r>
      <w:r>
        <w:rPr>
          <w:rFonts w:ascii="仿宋_GB2312" w:hAnsi="仿宋" w:eastAsia="仿宋_GB2312" w:cs="Times New Roman"/>
          <w:sz w:val="30"/>
          <w:szCs w:val="30"/>
        </w:rPr>
        <w:tab/>
      </w:r>
      <w:r>
        <w:rPr>
          <w:rFonts w:hint="eastAsia" w:ascii="仿宋_GB2312" w:hAnsi="仿宋" w:eastAsia="仿宋_GB2312" w:cs="Times New Roman"/>
          <w:sz w:val="30"/>
          <w:szCs w:val="30"/>
        </w:rPr>
        <w:t>逐步实现餐厅重点区域的食品加工操作过程视频信息和其他食品安全信息与监管部门联通，供监管部门实施远程监管。</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5</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严格餐饮具清洗消毒</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5.1</w:t>
      </w:r>
      <w:r>
        <w:rPr>
          <w:rFonts w:ascii="仿宋_GB2312" w:hAnsi="仿宋" w:eastAsia="仿宋_GB2312" w:cs="Times New Roman"/>
          <w:sz w:val="30"/>
          <w:szCs w:val="30"/>
        </w:rPr>
        <w:tab/>
      </w:r>
      <w:r>
        <w:rPr>
          <w:rFonts w:hint="eastAsia" w:ascii="仿宋_GB2312" w:hAnsi="仿宋" w:eastAsia="仿宋_GB2312" w:cs="Times New Roman"/>
          <w:sz w:val="30"/>
          <w:szCs w:val="30"/>
        </w:rPr>
        <w:t>配备洗碗机等有效的餐饮具清洗消毒设施，严格落实餐饮具和工用具的清洗消毒。</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5.2</w:t>
      </w:r>
      <w:r>
        <w:rPr>
          <w:rFonts w:ascii="仿宋_GB2312" w:hAnsi="仿宋" w:eastAsia="仿宋_GB2312" w:cs="Times New Roman"/>
          <w:sz w:val="30"/>
          <w:szCs w:val="30"/>
        </w:rPr>
        <w:tab/>
      </w:r>
      <w:r>
        <w:rPr>
          <w:rFonts w:hint="eastAsia" w:ascii="仿宋_GB2312" w:hAnsi="仿宋" w:eastAsia="仿宋_GB2312" w:cs="Times New Roman"/>
          <w:sz w:val="30"/>
          <w:szCs w:val="30"/>
        </w:rPr>
        <w:t>未配备洗碗机或者蒸汽、煮沸等热力消毒设施的，应使用符合要求的集中消毒餐饮具。</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6</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环境整洁卫生</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6.1</w:t>
      </w:r>
      <w:r>
        <w:rPr>
          <w:rFonts w:ascii="仿宋_GB2312" w:hAnsi="仿宋" w:eastAsia="仿宋_GB2312" w:cs="Times New Roman"/>
          <w:sz w:val="30"/>
          <w:szCs w:val="30"/>
        </w:rPr>
        <w:tab/>
      </w:r>
      <w:r>
        <w:rPr>
          <w:rFonts w:hint="eastAsia" w:ascii="仿宋_GB2312" w:hAnsi="仿宋" w:eastAsia="仿宋_GB2312" w:cs="Times New Roman"/>
          <w:sz w:val="30"/>
          <w:szCs w:val="30"/>
        </w:rPr>
        <w:t>餐厅通风换气良好，空调及通风设施定期清洗消毒，环境整洁卫生。</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6.2</w:t>
      </w:r>
      <w:r>
        <w:rPr>
          <w:rFonts w:ascii="仿宋_GB2312" w:hAnsi="仿宋" w:eastAsia="仿宋_GB2312" w:cs="Times New Roman"/>
          <w:sz w:val="30"/>
          <w:szCs w:val="30"/>
        </w:rPr>
        <w:tab/>
      </w:r>
      <w:r>
        <w:rPr>
          <w:rFonts w:hint="eastAsia" w:ascii="仿宋_GB2312" w:hAnsi="仿宋" w:eastAsia="仿宋_GB2312" w:cs="Times New Roman"/>
          <w:sz w:val="30"/>
          <w:szCs w:val="30"/>
        </w:rPr>
        <w:t>提供洗手设施，如设置厕所应保持清洁卫生。</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6.3</w:t>
      </w:r>
      <w:r>
        <w:rPr>
          <w:rFonts w:ascii="仿宋_GB2312" w:hAnsi="仿宋" w:eastAsia="仿宋_GB2312" w:cs="Times New Roman"/>
          <w:sz w:val="30"/>
          <w:szCs w:val="30"/>
        </w:rPr>
        <w:tab/>
      </w:r>
      <w:r>
        <w:rPr>
          <w:rFonts w:hint="eastAsia" w:ascii="仿宋_GB2312" w:hAnsi="仿宋" w:eastAsia="仿宋_GB2312" w:cs="Times New Roman"/>
          <w:sz w:val="30"/>
          <w:szCs w:val="30"/>
        </w:rPr>
        <w:t>餐厅全面禁烟。</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7</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倡导绿色文明消费</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7.1</w:t>
      </w:r>
      <w:r>
        <w:rPr>
          <w:rFonts w:ascii="仿宋_GB2312" w:hAnsi="仿宋" w:eastAsia="仿宋_GB2312" w:cs="Times New Roman"/>
          <w:sz w:val="30"/>
          <w:szCs w:val="30"/>
        </w:rPr>
        <w:tab/>
      </w:r>
      <w:r>
        <w:rPr>
          <w:rFonts w:hint="eastAsia" w:ascii="仿宋_GB2312" w:hAnsi="仿宋" w:eastAsia="仿宋_GB2312" w:cs="Times New Roman"/>
          <w:sz w:val="30"/>
          <w:szCs w:val="30"/>
        </w:rPr>
        <w:t>倡导“光盘行动”和文明用餐。</w:t>
      </w:r>
    </w:p>
    <w:p>
      <w:pPr>
        <w:adjustRightInd w:val="0"/>
        <w:snapToGrid w:val="0"/>
        <w:spacing w:line="360" w:lineRule="auto"/>
        <w:ind w:firstLine="563"/>
        <w:jc w:val="left"/>
        <w:rPr>
          <w:rFonts w:ascii="仿宋_GB2312" w:hAnsi="仿宋" w:eastAsia="仿宋_GB2312" w:cs="Times New Roman"/>
          <w:sz w:val="30"/>
          <w:szCs w:val="30"/>
        </w:rPr>
      </w:pPr>
      <w:r>
        <w:rPr>
          <w:rFonts w:ascii="仿宋_GB2312" w:hAnsi="仿宋" w:eastAsia="仿宋_GB2312" w:cs="Times New Roman"/>
          <w:sz w:val="30"/>
          <w:szCs w:val="30"/>
        </w:rPr>
        <w:t>7.2</w:t>
      </w:r>
      <w:r>
        <w:rPr>
          <w:rFonts w:ascii="仿宋_GB2312" w:hAnsi="仿宋" w:eastAsia="仿宋_GB2312" w:cs="Times New Roman"/>
          <w:sz w:val="30"/>
          <w:szCs w:val="30"/>
        </w:rPr>
        <w:tab/>
      </w:r>
      <w:r>
        <w:rPr>
          <w:rFonts w:hint="eastAsia" w:ascii="仿宋_GB2312" w:hAnsi="仿宋" w:eastAsia="仿宋_GB2312" w:cs="Times New Roman"/>
          <w:sz w:val="30"/>
          <w:szCs w:val="30"/>
        </w:rPr>
        <w:t>提供公筷、公匙等公用餐具。</w:t>
      </w:r>
    </w:p>
    <w:p>
      <w:pPr>
        <w:adjustRightInd w:val="0"/>
        <w:snapToGrid w:val="0"/>
        <w:spacing w:line="360" w:lineRule="auto"/>
        <w:ind w:firstLine="569"/>
        <w:jc w:val="left"/>
        <w:rPr>
          <w:rFonts w:ascii="楷体_GB2312" w:hAnsi="仿宋" w:eastAsia="楷体_GB2312" w:cs="Times New Roman"/>
          <w:b/>
          <w:bCs/>
          <w:sz w:val="30"/>
          <w:szCs w:val="30"/>
        </w:rPr>
      </w:pPr>
      <w:r>
        <w:rPr>
          <w:rFonts w:ascii="楷体_GB2312" w:hAnsi="仿宋" w:eastAsia="楷体_GB2312" w:cs="Times New Roman"/>
          <w:b/>
          <w:bCs/>
          <w:sz w:val="30"/>
          <w:szCs w:val="30"/>
        </w:rPr>
        <w:t>8</w:t>
      </w:r>
      <w:r>
        <w:rPr>
          <w:rFonts w:ascii="楷体_GB2312" w:hAnsi="仿宋" w:eastAsia="楷体_GB2312" w:cs="Times New Roman"/>
          <w:b/>
          <w:bCs/>
          <w:sz w:val="30"/>
          <w:szCs w:val="30"/>
        </w:rPr>
        <w:tab/>
      </w:r>
      <w:r>
        <w:rPr>
          <w:rFonts w:hint="eastAsia" w:ascii="楷体_GB2312" w:hAnsi="仿宋" w:eastAsia="楷体_GB2312" w:cs="Times New Roman"/>
          <w:b/>
          <w:bCs/>
          <w:sz w:val="30"/>
          <w:szCs w:val="30"/>
        </w:rPr>
        <w:t>畅通投诉评议渠道、妥善处置投诉</w:t>
      </w:r>
    </w:p>
    <w:p>
      <w:pPr>
        <w:adjustRightInd w:val="0"/>
        <w:snapToGrid w:val="0"/>
        <w:spacing w:line="360" w:lineRule="auto"/>
        <w:ind w:firstLine="569"/>
        <w:jc w:val="left"/>
        <w:rPr>
          <w:rFonts w:ascii="仿宋_GB2312" w:hAnsi="仿宋" w:eastAsia="仿宋_GB2312" w:cs="Times New Roman"/>
          <w:sz w:val="30"/>
          <w:szCs w:val="30"/>
        </w:rPr>
      </w:pPr>
      <w:r>
        <w:rPr>
          <w:rFonts w:ascii="仿宋_GB2312" w:hAnsi="仿宋" w:eastAsia="仿宋_GB2312" w:cs="Times New Roman"/>
          <w:sz w:val="30"/>
          <w:szCs w:val="30"/>
        </w:rPr>
        <w:t>8.1</w:t>
      </w:r>
      <w:r>
        <w:rPr>
          <w:rFonts w:ascii="仿宋_GB2312" w:hAnsi="仿宋" w:eastAsia="仿宋_GB2312" w:cs="Times New Roman"/>
          <w:sz w:val="30"/>
          <w:szCs w:val="30"/>
        </w:rPr>
        <w:tab/>
      </w:r>
      <w:r>
        <w:rPr>
          <w:rFonts w:hint="eastAsia" w:ascii="仿宋_GB2312" w:hAnsi="仿宋" w:eastAsia="仿宋_GB2312" w:cs="Times New Roman"/>
          <w:sz w:val="30"/>
          <w:szCs w:val="30"/>
        </w:rPr>
        <w:t>消费者可通过“明厨亮灶”的电子显示屏、餐厅网站或</w:t>
      </w:r>
      <w:r>
        <w:rPr>
          <w:rFonts w:ascii="仿宋_GB2312" w:hAnsi="仿宋" w:eastAsia="仿宋_GB2312" w:cs="Times New Roman"/>
          <w:sz w:val="30"/>
          <w:szCs w:val="30"/>
        </w:rPr>
        <w:t>APP以及连锁餐厅总部电话等渠道反映或投诉食品安全问题以及进行食品安全满意度评议。</w:t>
      </w:r>
    </w:p>
    <w:p>
      <w:pPr>
        <w:adjustRightInd w:val="0"/>
        <w:snapToGrid w:val="0"/>
        <w:spacing w:line="360" w:lineRule="auto"/>
        <w:ind w:firstLine="569"/>
        <w:jc w:val="left"/>
        <w:rPr>
          <w:sz w:val="30"/>
          <w:szCs w:val="30"/>
        </w:rPr>
      </w:pPr>
      <w:r>
        <w:rPr>
          <w:rFonts w:ascii="仿宋_GB2312" w:hAnsi="仿宋" w:eastAsia="仿宋_GB2312" w:cs="Times New Roman"/>
          <w:sz w:val="30"/>
          <w:szCs w:val="30"/>
        </w:rPr>
        <w:t>8.2</w:t>
      </w:r>
      <w:r>
        <w:rPr>
          <w:rFonts w:ascii="仿宋_GB2312" w:hAnsi="仿宋" w:eastAsia="仿宋_GB2312" w:cs="Times New Roman"/>
          <w:sz w:val="30"/>
          <w:szCs w:val="30"/>
        </w:rPr>
        <w:tab/>
      </w:r>
      <w:r>
        <w:rPr>
          <w:rFonts w:hint="eastAsia" w:ascii="仿宋_GB2312" w:hAnsi="仿宋" w:eastAsia="仿宋_GB2312" w:cs="Times New Roman"/>
          <w:sz w:val="30"/>
          <w:szCs w:val="30"/>
        </w:rPr>
        <w:t>及时妥善处置消费者投诉。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06B16"/>
    <w:rsid w:val="09532077"/>
    <w:rsid w:val="12746E86"/>
    <w:rsid w:val="21D06B16"/>
    <w:rsid w:val="34F23937"/>
    <w:rsid w:val="43D47CE8"/>
    <w:rsid w:val="587B0F39"/>
    <w:rsid w:val="691E3C9A"/>
    <w:rsid w:val="699A0A5B"/>
    <w:rsid w:val="7FBF4D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2017-03-28T00:54:00Z</dcterms:created>
  <dc:creator>Lenovo</dc:creator>
  <cp:lastModifiedBy>Lenovo</cp:lastModifiedBy>
  <cp:lastPrinted>2017-06-05T07:43:42Z</cp:lastPrinted>
  <dcterms:modified xsi:type="dcterms:W3CDTF">2017-06-05T07:47:47Z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