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3F" w:rsidRPr="00D15F7F" w:rsidRDefault="00BF3B3F" w:rsidP="00BF3B3F">
      <w:pPr>
        <w:rPr>
          <w:rFonts w:ascii="黑体" w:eastAsia="黑体" w:hAnsi="楷体" w:cs="仿宋" w:hint="eastAsia"/>
          <w:color w:val="000000"/>
          <w:sz w:val="32"/>
          <w:szCs w:val="32"/>
        </w:rPr>
      </w:pPr>
      <w:r w:rsidRPr="00D15F7F">
        <w:rPr>
          <w:rFonts w:ascii="黑体" w:eastAsia="黑体" w:hAnsi="楷体" w:cs="仿宋" w:hint="eastAsia"/>
          <w:color w:val="000000"/>
          <w:sz w:val="32"/>
          <w:szCs w:val="32"/>
        </w:rPr>
        <w:t xml:space="preserve">附表1  </w:t>
      </w:r>
    </w:p>
    <w:p w:rsidR="00BF3B3F" w:rsidRPr="00D15F7F" w:rsidRDefault="00BF3B3F" w:rsidP="00BF3B3F">
      <w:pPr>
        <w:spacing w:after="240"/>
        <w:jc w:val="center"/>
        <w:rPr>
          <w:rFonts w:ascii="方正小标宋简体" w:eastAsia="方正小标宋简体" w:hAnsi="宋体" w:cs="仿宋" w:hint="eastAsia"/>
          <w:color w:val="000000"/>
          <w:sz w:val="36"/>
          <w:szCs w:val="36"/>
        </w:rPr>
      </w:pPr>
      <w:r w:rsidRPr="00D15F7F">
        <w:rPr>
          <w:rFonts w:ascii="方正小标宋简体" w:eastAsia="方正小标宋简体" w:hAnsi="宋体" w:cs="仿宋" w:hint="eastAsia"/>
          <w:color w:val="000000"/>
          <w:sz w:val="36"/>
          <w:szCs w:val="36"/>
        </w:rPr>
        <w:t>2016年以来新成立零售连锁企业名单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1488"/>
        <w:gridCol w:w="1380"/>
        <w:gridCol w:w="4319"/>
      </w:tblGrid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许可证号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有效日期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沪BA0210054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2017-07-12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2022-07-11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上海裕德堂大药房（普通合伙）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沪BA0210053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2017-07-07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2022-07-06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叮当智慧药房（上海）有限公司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沪BA0210052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2017-01-25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2022-01-24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上海诚康大药房有限公司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沪BA0210051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2016-10-12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2021-10-11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上海百秀大药房有限公司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沪BA0210050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2016-03-31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2021-03-30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国药堂大药房（上海）有限公司</w:t>
            </w:r>
          </w:p>
        </w:tc>
      </w:tr>
      <w:tr w:rsidR="00BF3B3F" w:rsidRPr="00473A12" w:rsidTr="00535C00">
        <w:trPr>
          <w:trHeight w:val="612"/>
          <w:jc w:val="center"/>
        </w:trPr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沪BA0210048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2016-03-15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2021-03-14</w:t>
            </w:r>
          </w:p>
        </w:tc>
        <w:tc>
          <w:tcPr>
            <w:tcW w:w="4319" w:type="dxa"/>
            <w:shd w:val="clear" w:color="auto" w:fill="auto"/>
            <w:noWrap/>
            <w:vAlign w:val="center"/>
            <w:hideMark/>
          </w:tcPr>
          <w:p w:rsidR="00BF3B3F" w:rsidRPr="00473A12" w:rsidRDefault="00BF3B3F" w:rsidP="00535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3A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上海万芸药房连锁有限公司</w:t>
            </w:r>
          </w:p>
        </w:tc>
      </w:tr>
    </w:tbl>
    <w:p w:rsidR="00BF3B3F" w:rsidRPr="00473A12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Default="00BF3B3F" w:rsidP="00BF3B3F">
      <w:pPr>
        <w:ind w:firstLineChars="500" w:firstLine="1606"/>
        <w:rPr>
          <w:rFonts w:ascii="楷体" w:eastAsia="楷体" w:hAnsi="楷体" w:cs="仿宋"/>
          <w:b/>
          <w:color w:val="000000"/>
          <w:sz w:val="32"/>
          <w:szCs w:val="32"/>
        </w:rPr>
      </w:pPr>
    </w:p>
    <w:p w:rsidR="00BF3B3F" w:rsidRPr="00D15F7F" w:rsidRDefault="00BF3B3F" w:rsidP="00BF3B3F">
      <w:pPr>
        <w:jc w:val="left"/>
        <w:rPr>
          <w:rFonts w:ascii="黑体" w:eastAsia="黑体" w:hAnsi="仿宋" w:hint="eastAsia"/>
          <w:sz w:val="32"/>
          <w:szCs w:val="44"/>
        </w:rPr>
      </w:pPr>
      <w:r w:rsidRPr="00D15F7F">
        <w:rPr>
          <w:rFonts w:ascii="黑体" w:eastAsia="黑体" w:hAnsi="仿宋" w:hint="eastAsia"/>
          <w:sz w:val="32"/>
          <w:szCs w:val="32"/>
        </w:rPr>
        <w:lastRenderedPageBreak/>
        <w:t>附表2</w:t>
      </w:r>
    </w:p>
    <w:p w:rsidR="00BF3B3F" w:rsidRPr="00D15F7F" w:rsidRDefault="00BF3B3F" w:rsidP="00BF3B3F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D15F7F">
        <w:rPr>
          <w:rFonts w:ascii="方正小标宋简体" w:eastAsia="方正小标宋简体" w:hAnsi="黑体" w:hint="eastAsia"/>
          <w:sz w:val="36"/>
          <w:szCs w:val="36"/>
        </w:rPr>
        <w:t>专项检查工作信息报送表</w:t>
      </w:r>
    </w:p>
    <w:p w:rsidR="00BF3B3F" w:rsidRPr="00170BD0" w:rsidRDefault="00BF3B3F" w:rsidP="00BF3B3F">
      <w:pPr>
        <w:spacing w:line="600" w:lineRule="exact"/>
        <w:rPr>
          <w:sz w:val="24"/>
        </w:rPr>
      </w:pP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区市场监管局</w:t>
      </w:r>
      <w:r w:rsidRPr="00170BD0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1283"/>
        <w:gridCol w:w="1106"/>
        <w:gridCol w:w="102"/>
        <w:gridCol w:w="755"/>
        <w:gridCol w:w="541"/>
        <w:gridCol w:w="1894"/>
        <w:gridCol w:w="1895"/>
      </w:tblGrid>
      <w:tr w:rsidR="00BF3B3F" w:rsidRPr="001A1A17" w:rsidTr="00535C00">
        <w:trPr>
          <w:trHeight w:val="456"/>
          <w:jc w:val="center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自查情况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本区药店数量</w:t>
            </w:r>
          </w:p>
        </w:tc>
        <w:tc>
          <w:tcPr>
            <w:tcW w:w="1398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894" w:type="dxa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收到报告数量</w:t>
            </w:r>
          </w:p>
        </w:tc>
        <w:tc>
          <w:tcPr>
            <w:tcW w:w="1895" w:type="dxa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481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  <w:gridSpan w:val="2"/>
            <w:shd w:val="clear" w:color="auto" w:fill="auto"/>
          </w:tcPr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本区诊所、门诊部数量</w:t>
            </w:r>
          </w:p>
        </w:tc>
        <w:tc>
          <w:tcPr>
            <w:tcW w:w="1398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894" w:type="dxa"/>
            <w:shd w:val="clear" w:color="auto" w:fill="auto"/>
          </w:tcPr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收到报告数量</w:t>
            </w:r>
          </w:p>
        </w:tc>
        <w:tc>
          <w:tcPr>
            <w:tcW w:w="1895" w:type="dxa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481"/>
          <w:jc w:val="center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检查情况</w:t>
            </w:r>
          </w:p>
        </w:tc>
        <w:tc>
          <w:tcPr>
            <w:tcW w:w="2389" w:type="dxa"/>
            <w:gridSpan w:val="2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检查药店</w:t>
            </w:r>
            <w:r w:rsidRPr="001A1A17">
              <w:rPr>
                <w:rFonts w:hint="eastAsia"/>
                <w:szCs w:val="21"/>
              </w:rPr>
              <w:t>家数</w:t>
            </w:r>
          </w:p>
        </w:tc>
        <w:tc>
          <w:tcPr>
            <w:tcW w:w="1398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894" w:type="dxa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检查诊所、门诊部</w:t>
            </w:r>
            <w:r w:rsidRPr="001A1A17">
              <w:rPr>
                <w:rFonts w:hint="eastAsia"/>
                <w:szCs w:val="21"/>
              </w:rPr>
              <w:t>家数</w:t>
            </w:r>
          </w:p>
        </w:tc>
        <w:tc>
          <w:tcPr>
            <w:tcW w:w="1895" w:type="dxa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发现的主要问题</w:t>
            </w:r>
          </w:p>
        </w:tc>
        <w:tc>
          <w:tcPr>
            <w:tcW w:w="5186" w:type="dxa"/>
            <w:gridSpan w:val="5"/>
            <w:shd w:val="clear" w:color="auto" w:fill="auto"/>
          </w:tcPr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BF3B3F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</w:t>
            </w:r>
          </w:p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</w:tr>
      <w:tr w:rsidR="00BF3B3F" w:rsidRPr="001A1A17" w:rsidTr="00535C00">
        <w:trPr>
          <w:trHeight w:val="158"/>
          <w:jc w:val="center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查处情况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药品零售企业（家）</w:t>
            </w: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警告、责令改正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57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责令停业整顿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211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撤销《药品经营质量管理规范认证证书》（附名单）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吊销《药品经营许可证》（附名单）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移送公安机关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公开曝光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26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诊所、门诊部</w:t>
            </w:r>
            <w:r w:rsidRPr="001A1A17">
              <w:rPr>
                <w:rFonts w:hint="eastAsia"/>
                <w:szCs w:val="21"/>
              </w:rPr>
              <w:t>（家）</w:t>
            </w: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责令改正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26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通报卫生计生部门（附名单）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26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公开曝光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其他</w:t>
            </w:r>
          </w:p>
        </w:tc>
        <w:tc>
          <w:tcPr>
            <w:tcW w:w="2491" w:type="dxa"/>
            <w:gridSpan w:val="3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销毁假劣药品品种数、数量</w:t>
            </w:r>
          </w:p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（附报告）</w:t>
            </w:r>
          </w:p>
        </w:tc>
        <w:tc>
          <w:tcPr>
            <w:tcW w:w="5084" w:type="dxa"/>
            <w:gridSpan w:val="4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105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491" w:type="dxa"/>
            <w:gridSpan w:val="3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典型案例起数</w:t>
            </w:r>
          </w:p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（附报告）</w:t>
            </w:r>
          </w:p>
        </w:tc>
        <w:tc>
          <w:tcPr>
            <w:tcW w:w="5084" w:type="dxa"/>
            <w:gridSpan w:val="4"/>
            <w:shd w:val="clear" w:color="auto" w:fill="auto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  <w:tr w:rsidR="00BF3B3F" w:rsidRPr="001A1A17" w:rsidTr="00535C00">
        <w:trPr>
          <w:trHeight w:val="640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jc w:val="center"/>
              <w:rPr>
                <w:szCs w:val="21"/>
              </w:rPr>
            </w:pPr>
            <w:r w:rsidRPr="001A1A17">
              <w:rPr>
                <w:rFonts w:hint="eastAsia"/>
                <w:szCs w:val="21"/>
              </w:rPr>
              <w:t>备注</w:t>
            </w:r>
          </w:p>
        </w:tc>
        <w:tc>
          <w:tcPr>
            <w:tcW w:w="7575" w:type="dxa"/>
            <w:gridSpan w:val="7"/>
            <w:shd w:val="clear" w:color="auto" w:fill="auto"/>
            <w:vAlign w:val="center"/>
          </w:tcPr>
          <w:p w:rsidR="00BF3B3F" w:rsidRPr="001A1A17" w:rsidRDefault="00BF3B3F" w:rsidP="00535C00">
            <w:pPr>
              <w:spacing w:line="360" w:lineRule="exact"/>
              <w:rPr>
                <w:szCs w:val="21"/>
              </w:rPr>
            </w:pPr>
          </w:p>
        </w:tc>
      </w:tr>
    </w:tbl>
    <w:p w:rsidR="00BF3B3F" w:rsidRPr="00473A12" w:rsidRDefault="00BF3B3F" w:rsidP="00BF3B3F">
      <w:pPr>
        <w:rPr>
          <w:rFonts w:ascii="楷体" w:eastAsia="楷体" w:hAnsi="楷体" w:cs="仿宋"/>
          <w:b/>
          <w:color w:val="000000"/>
          <w:sz w:val="32"/>
          <w:szCs w:val="32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联系电话：</w:t>
      </w:r>
    </w:p>
    <w:p w:rsidR="00BF3B3F" w:rsidRPr="00EF1CF7" w:rsidRDefault="00BF3B3F" w:rsidP="00BF3B3F">
      <w:pPr>
        <w:spacing w:line="360" w:lineRule="exact"/>
        <w:ind w:rightChars="37" w:right="78"/>
        <w:rPr>
          <w:rFonts w:ascii="仿宋_GB2312" w:eastAsia="仿宋_GB2312" w:hAnsi="宋体" w:hint="eastAsia"/>
          <w:b/>
          <w:sz w:val="32"/>
          <w:szCs w:val="32"/>
        </w:rPr>
      </w:pPr>
    </w:p>
    <w:p w:rsidR="003B76CB" w:rsidRDefault="003B76CB"/>
    <w:sectPr w:rsidR="003B76CB" w:rsidSect="00C93121">
      <w:footerReference w:type="even" r:id="rId4"/>
      <w:footerReference w:type="default" r:id="rId5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F7" w:rsidRPr="00EF1CF7" w:rsidRDefault="00BF3B3F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736F6">
      <w:rPr>
        <w:rFonts w:ascii="宋体" w:hAnsi="宋体"/>
        <w:noProof/>
        <w:sz w:val="28"/>
        <w:szCs w:val="28"/>
        <w:lang w:val="zh-CN"/>
      </w:rPr>
      <w:t>8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BF3B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F7" w:rsidRPr="00EF1CF7" w:rsidRDefault="00BF3B3F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BF3B3F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BF3B3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3B3F"/>
    <w:rsid w:val="003B76CB"/>
    <w:rsid w:val="00BF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F3B3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BF3B3F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</dc:creator>
  <cp:lastModifiedBy>wyn</cp:lastModifiedBy>
  <cp:revision>1</cp:revision>
  <dcterms:created xsi:type="dcterms:W3CDTF">2017-08-02T06:13:00Z</dcterms:created>
  <dcterms:modified xsi:type="dcterms:W3CDTF">2017-08-02T06:14:00Z</dcterms:modified>
</cp:coreProperties>
</file>