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98" w:type="dxa"/>
        <w:tblLook w:val="0000" w:firstRow="0" w:lastRow="0" w:firstColumn="0" w:lastColumn="0" w:noHBand="0" w:noVBand="0"/>
      </w:tblPr>
      <w:tblGrid>
        <w:gridCol w:w="1039"/>
        <w:gridCol w:w="1727"/>
        <w:gridCol w:w="3825"/>
        <w:gridCol w:w="1118"/>
        <w:gridCol w:w="248"/>
        <w:gridCol w:w="2177"/>
        <w:gridCol w:w="2980"/>
        <w:gridCol w:w="966"/>
        <w:gridCol w:w="17"/>
        <w:gridCol w:w="9"/>
        <w:gridCol w:w="992"/>
      </w:tblGrid>
      <w:tr w:rsidR="008776DB" w:rsidRPr="005B016F" w:rsidTr="00914E60">
        <w:trPr>
          <w:trHeight w:val="1005"/>
        </w:trPr>
        <w:tc>
          <w:tcPr>
            <w:tcW w:w="15098" w:type="dxa"/>
            <w:gridSpan w:val="11"/>
            <w:tcBorders>
              <w:top w:val="nil"/>
              <w:left w:val="nil"/>
              <w:bottom w:val="single" w:sz="4" w:space="0" w:color="auto"/>
              <w:right w:val="nil"/>
            </w:tcBorders>
            <w:vAlign w:val="center"/>
          </w:tcPr>
          <w:p w:rsidR="008776DB" w:rsidRPr="005B016F" w:rsidRDefault="008776DB" w:rsidP="00914E60">
            <w:pPr>
              <w:widowControl/>
              <w:spacing w:line="400" w:lineRule="exact"/>
              <w:rPr>
                <w:rFonts w:ascii="黑体" w:eastAsia="黑体" w:hAnsi="宋体" w:cs="楷体_GB2312" w:hint="eastAsia"/>
                <w:kern w:val="0"/>
                <w:sz w:val="30"/>
                <w:szCs w:val="30"/>
              </w:rPr>
            </w:pPr>
            <w:r w:rsidRPr="005B016F">
              <w:rPr>
                <w:rFonts w:ascii="黑体" w:eastAsia="黑体" w:hAnsi="宋体" w:cs="楷体_GB2312" w:hint="eastAsia"/>
                <w:kern w:val="0"/>
                <w:sz w:val="30"/>
                <w:szCs w:val="30"/>
              </w:rPr>
              <w:t>附件一</w:t>
            </w:r>
          </w:p>
          <w:p w:rsidR="008776DB" w:rsidRPr="005B016F" w:rsidRDefault="008776DB" w:rsidP="00914E60">
            <w:pPr>
              <w:spacing w:after="240"/>
              <w:jc w:val="center"/>
              <w:rPr>
                <w:rFonts w:ascii="方正小标宋简体" w:eastAsia="方正小标宋简体" w:hAnsi="宋体" w:hint="eastAsia"/>
                <w:kern w:val="0"/>
                <w:sz w:val="36"/>
                <w:szCs w:val="36"/>
              </w:rPr>
            </w:pPr>
            <w:r w:rsidRPr="005B016F">
              <w:rPr>
                <w:rFonts w:ascii="方正小标宋简体" w:eastAsia="方正小标宋简体" w:hAnsi="宋体" w:cs="黑体" w:hint="eastAsia"/>
                <w:kern w:val="0"/>
                <w:sz w:val="40"/>
                <w:szCs w:val="36"/>
              </w:rPr>
              <w:t>上海市药品零售企业日常检查记分标准</w:t>
            </w:r>
          </w:p>
        </w:tc>
      </w:tr>
      <w:tr w:rsidR="008776DB" w:rsidRPr="005B016F" w:rsidTr="00914E60">
        <w:trPr>
          <w:trHeight w:val="495"/>
        </w:trPr>
        <w:tc>
          <w:tcPr>
            <w:tcW w:w="2766" w:type="dxa"/>
            <w:gridSpan w:val="2"/>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pPr>
            <w:r w:rsidRPr="005B016F">
              <w:rPr>
                <w:rFonts w:ascii="宋体" w:hAnsi="宋体" w:cs="宋体" w:hint="eastAsia"/>
                <w:b/>
                <w:bCs/>
                <w:kern w:val="0"/>
                <w:sz w:val="30"/>
                <w:szCs w:val="30"/>
              </w:rPr>
              <w:t>企业名称</w:t>
            </w:r>
          </w:p>
        </w:tc>
        <w:tc>
          <w:tcPr>
            <w:tcW w:w="12332" w:type="dxa"/>
            <w:gridSpan w:val="9"/>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hAnsi="宋体" w:cs="宋体"/>
                <w:b/>
                <w:bCs/>
                <w:kern w:val="0"/>
                <w:sz w:val="30"/>
                <w:szCs w:val="30"/>
              </w:rPr>
            </w:pPr>
          </w:p>
        </w:tc>
      </w:tr>
      <w:tr w:rsidR="008776DB" w:rsidRPr="005B016F" w:rsidTr="00914E60">
        <w:trPr>
          <w:trHeight w:val="495"/>
        </w:trPr>
        <w:tc>
          <w:tcPr>
            <w:tcW w:w="2766" w:type="dxa"/>
            <w:gridSpan w:val="2"/>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pPr>
            <w:r w:rsidRPr="005B016F">
              <w:rPr>
                <w:rFonts w:ascii="宋体" w:hAnsi="宋体" w:cs="宋体" w:hint="eastAsia"/>
                <w:b/>
                <w:bCs/>
                <w:kern w:val="0"/>
                <w:sz w:val="30"/>
                <w:szCs w:val="30"/>
              </w:rPr>
              <w:t>经营范围</w:t>
            </w:r>
          </w:p>
        </w:tc>
        <w:tc>
          <w:tcPr>
            <w:tcW w:w="12332" w:type="dxa"/>
            <w:gridSpan w:val="9"/>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hAnsi="宋体" w:cs="宋体"/>
                <w:b/>
                <w:bCs/>
                <w:kern w:val="0"/>
                <w:sz w:val="30"/>
                <w:szCs w:val="30"/>
              </w:rPr>
            </w:pPr>
          </w:p>
        </w:tc>
      </w:tr>
      <w:tr w:rsidR="008776DB" w:rsidRPr="005B016F" w:rsidTr="00914E60">
        <w:trPr>
          <w:trHeight w:val="495"/>
        </w:trPr>
        <w:tc>
          <w:tcPr>
            <w:tcW w:w="2766" w:type="dxa"/>
            <w:gridSpan w:val="2"/>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pPr>
            <w:r w:rsidRPr="005B016F">
              <w:rPr>
                <w:rFonts w:ascii="宋体" w:hAnsi="宋体" w:cs="宋体" w:hint="eastAsia"/>
                <w:b/>
                <w:bCs/>
                <w:kern w:val="0"/>
                <w:sz w:val="30"/>
                <w:szCs w:val="30"/>
              </w:rPr>
              <w:t>经营方式</w:t>
            </w:r>
          </w:p>
        </w:tc>
        <w:tc>
          <w:tcPr>
            <w:tcW w:w="5191"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hAnsi="宋体" w:cs="宋体"/>
                <w:b/>
                <w:bCs/>
                <w:kern w:val="0"/>
                <w:sz w:val="30"/>
                <w:szCs w:val="30"/>
              </w:rPr>
            </w:pPr>
          </w:p>
        </w:tc>
        <w:tc>
          <w:tcPr>
            <w:tcW w:w="2177"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hAnsi="宋体" w:cs="宋体"/>
                <w:b/>
                <w:bCs/>
                <w:kern w:val="0"/>
                <w:sz w:val="30"/>
                <w:szCs w:val="30"/>
              </w:rPr>
            </w:pPr>
            <w:r w:rsidRPr="005B016F">
              <w:rPr>
                <w:rFonts w:ascii="宋体" w:hAnsi="宋体" w:cs="宋体" w:hint="eastAsia"/>
                <w:b/>
                <w:bCs/>
                <w:kern w:val="0"/>
                <w:sz w:val="30"/>
                <w:szCs w:val="30"/>
              </w:rPr>
              <w:t>检查时间</w:t>
            </w:r>
          </w:p>
        </w:tc>
        <w:tc>
          <w:tcPr>
            <w:tcW w:w="4964" w:type="dxa"/>
            <w:gridSpan w:val="5"/>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hAnsi="宋体" w:cs="宋体"/>
                <w:b/>
                <w:bCs/>
                <w:kern w:val="0"/>
                <w:sz w:val="30"/>
                <w:szCs w:val="30"/>
              </w:rPr>
            </w:pPr>
          </w:p>
        </w:tc>
      </w:tr>
      <w:tr w:rsidR="008776DB" w:rsidRPr="005B016F" w:rsidTr="00914E60">
        <w:trPr>
          <w:trHeight w:val="495"/>
        </w:trPr>
        <w:tc>
          <w:tcPr>
            <w:tcW w:w="2766" w:type="dxa"/>
            <w:gridSpan w:val="2"/>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pPr>
            <w:r w:rsidRPr="005B016F">
              <w:rPr>
                <w:rFonts w:ascii="宋体" w:hAnsi="宋体" w:cs="宋体" w:hint="eastAsia"/>
                <w:b/>
                <w:bCs/>
                <w:kern w:val="0"/>
                <w:sz w:val="30"/>
                <w:szCs w:val="30"/>
              </w:rPr>
              <w:t>检查依据</w:t>
            </w:r>
          </w:p>
        </w:tc>
        <w:tc>
          <w:tcPr>
            <w:tcW w:w="12332" w:type="dxa"/>
            <w:gridSpan w:val="9"/>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hAnsi="宋体" w:cs="宋体"/>
                <w:b/>
                <w:bCs/>
                <w:kern w:val="0"/>
                <w:sz w:val="30"/>
                <w:szCs w:val="30"/>
              </w:rPr>
            </w:pPr>
            <w:r w:rsidRPr="005B016F">
              <w:rPr>
                <w:rFonts w:ascii="宋体" w:hint="eastAsia"/>
                <w:sz w:val="28"/>
                <w:szCs w:val="28"/>
              </w:rPr>
              <w:t>《药品经营质量管理规范》</w:t>
            </w:r>
          </w:p>
        </w:tc>
      </w:tr>
      <w:tr w:rsidR="008776DB" w:rsidRPr="005B016F" w:rsidTr="00914E60">
        <w:trPr>
          <w:trHeight w:val="1258"/>
        </w:trPr>
        <w:tc>
          <w:tcPr>
            <w:tcW w:w="1039" w:type="dxa"/>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30"/>
                <w:szCs w:val="30"/>
              </w:rPr>
            </w:pPr>
            <w:r w:rsidRPr="005B016F">
              <w:rPr>
                <w:rFonts w:ascii="宋体" w:hAnsi="宋体" w:cs="宋体" w:hint="eastAsia"/>
                <w:b/>
                <w:bCs/>
                <w:kern w:val="0"/>
                <w:sz w:val="30"/>
                <w:szCs w:val="30"/>
              </w:rPr>
              <w:t>序号</w:t>
            </w:r>
          </w:p>
        </w:tc>
        <w:tc>
          <w:tcPr>
            <w:tcW w:w="1727" w:type="dxa"/>
            <w:tcBorders>
              <w:top w:val="single" w:sz="4" w:space="0" w:color="auto"/>
              <w:left w:val="nil"/>
              <w:right w:val="single" w:sz="4" w:space="0" w:color="auto"/>
            </w:tcBorders>
            <w:vAlign w:val="center"/>
          </w:tcPr>
          <w:p w:rsidR="008776DB" w:rsidRPr="005B016F" w:rsidRDefault="008776DB" w:rsidP="008776DB">
            <w:pPr>
              <w:widowControl/>
              <w:ind w:leftChars="-51" w:left="-107" w:firstLineChars="35" w:firstLine="105"/>
              <w:jc w:val="center"/>
              <w:rPr>
                <w:rFonts w:ascii="宋体"/>
                <w:b/>
                <w:bCs/>
                <w:kern w:val="0"/>
                <w:sz w:val="30"/>
                <w:szCs w:val="30"/>
              </w:rPr>
            </w:pPr>
            <w:r w:rsidRPr="005B016F">
              <w:rPr>
                <w:rFonts w:ascii="宋体" w:hAnsi="宋体" w:cs="宋体"/>
                <w:b/>
                <w:bCs/>
                <w:kern w:val="0"/>
                <w:sz w:val="30"/>
                <w:szCs w:val="30"/>
              </w:rPr>
              <w:t>检查项目与</w:t>
            </w:r>
            <w:r w:rsidRPr="005B016F">
              <w:rPr>
                <w:rFonts w:ascii="宋体" w:hAnsi="宋体" w:cs="宋体" w:hint="eastAsia"/>
                <w:b/>
                <w:bCs/>
                <w:kern w:val="0"/>
                <w:sz w:val="30"/>
                <w:szCs w:val="30"/>
              </w:rPr>
              <w:t>总分值</w:t>
            </w:r>
          </w:p>
        </w:tc>
        <w:tc>
          <w:tcPr>
            <w:tcW w:w="3825" w:type="dxa"/>
            <w:tcBorders>
              <w:top w:val="single" w:sz="4" w:space="0" w:color="auto"/>
              <w:left w:val="nil"/>
              <w:right w:val="single" w:sz="4" w:space="0" w:color="auto"/>
            </w:tcBorders>
            <w:vAlign w:val="center"/>
          </w:tcPr>
          <w:p w:rsidR="008776DB" w:rsidRPr="005B016F" w:rsidRDefault="008776DB" w:rsidP="008776DB">
            <w:pPr>
              <w:widowControl/>
              <w:ind w:leftChars="-51" w:left="-107" w:firstLineChars="35" w:firstLine="105"/>
              <w:jc w:val="center"/>
              <w:rPr>
                <w:rFonts w:ascii="宋体"/>
                <w:b/>
                <w:bCs/>
                <w:kern w:val="0"/>
                <w:sz w:val="30"/>
                <w:szCs w:val="30"/>
              </w:rPr>
            </w:pPr>
            <w:r w:rsidRPr="005B016F">
              <w:rPr>
                <w:rFonts w:ascii="宋体" w:hAnsi="宋体" w:cs="宋体"/>
                <w:b/>
                <w:bCs/>
                <w:kern w:val="0"/>
                <w:sz w:val="30"/>
                <w:szCs w:val="30"/>
              </w:rPr>
              <w:t>GSP</w:t>
            </w:r>
            <w:r w:rsidRPr="005B016F">
              <w:rPr>
                <w:rFonts w:ascii="宋体" w:hAnsi="宋体" w:cs="宋体" w:hint="eastAsia"/>
                <w:b/>
                <w:bCs/>
                <w:kern w:val="0"/>
                <w:sz w:val="30"/>
                <w:szCs w:val="30"/>
              </w:rPr>
              <w:t>条款</w:t>
            </w:r>
          </w:p>
        </w:tc>
        <w:tc>
          <w:tcPr>
            <w:tcW w:w="6523" w:type="dxa"/>
            <w:gridSpan w:val="4"/>
            <w:tcBorders>
              <w:top w:val="single" w:sz="4" w:space="0" w:color="auto"/>
              <w:left w:val="nil"/>
              <w:right w:val="single" w:sz="4" w:space="0" w:color="auto"/>
            </w:tcBorders>
            <w:vAlign w:val="center"/>
          </w:tcPr>
          <w:p w:rsidR="008776DB" w:rsidRPr="005B016F" w:rsidRDefault="008776DB" w:rsidP="00914E60">
            <w:pPr>
              <w:jc w:val="center"/>
              <w:rPr>
                <w:rFonts w:ascii="宋体"/>
                <w:b/>
                <w:bCs/>
                <w:kern w:val="0"/>
                <w:sz w:val="30"/>
                <w:szCs w:val="30"/>
              </w:rPr>
            </w:pPr>
            <w:r w:rsidRPr="005B016F">
              <w:rPr>
                <w:rFonts w:ascii="宋体" w:hAnsi="宋体" w:cs="宋体" w:hint="eastAsia"/>
                <w:b/>
                <w:bCs/>
                <w:kern w:val="0"/>
                <w:sz w:val="30"/>
                <w:szCs w:val="30"/>
              </w:rPr>
              <w:t>具体内容</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hAnsi="宋体" w:cs="宋体"/>
                <w:b/>
                <w:bCs/>
                <w:kern w:val="0"/>
              </w:rPr>
            </w:pPr>
            <w:r w:rsidRPr="005B016F">
              <w:rPr>
                <w:rFonts w:ascii="宋体" w:hAnsi="宋体" w:cs="宋体" w:hint="eastAsia"/>
                <w:b/>
                <w:bCs/>
                <w:kern w:val="0"/>
              </w:rPr>
              <w:t>有违规行为</w:t>
            </w:r>
          </w:p>
          <w:p w:rsidR="008776DB" w:rsidRPr="005B016F" w:rsidRDefault="008776DB" w:rsidP="00914E60">
            <w:pPr>
              <w:widowControl/>
              <w:jc w:val="center"/>
              <w:rPr>
                <w:rFonts w:ascii="宋体"/>
                <w:b/>
                <w:bCs/>
                <w:kern w:val="0"/>
              </w:rPr>
            </w:pPr>
            <w:r w:rsidRPr="005B016F">
              <w:rPr>
                <w:rFonts w:ascii="宋体" w:hAnsi="宋体" w:cs="宋体" w:hint="eastAsia"/>
                <w:b/>
                <w:bCs/>
                <w:kern w:val="0"/>
              </w:rPr>
              <w:t>（勾选）</w:t>
            </w:r>
          </w:p>
        </w:tc>
        <w:tc>
          <w:tcPr>
            <w:tcW w:w="992" w:type="dxa"/>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30"/>
                <w:szCs w:val="30"/>
              </w:rPr>
            </w:pPr>
            <w:r w:rsidRPr="005B016F">
              <w:rPr>
                <w:rFonts w:ascii="宋体" w:hAnsi="宋体" w:cs="宋体" w:hint="eastAsia"/>
                <w:b/>
                <w:bCs/>
                <w:kern w:val="0"/>
                <w:sz w:val="30"/>
                <w:szCs w:val="30"/>
              </w:rPr>
              <w:t>记分</w:t>
            </w:r>
          </w:p>
        </w:tc>
      </w:tr>
      <w:tr w:rsidR="008776DB" w:rsidRPr="005B016F" w:rsidTr="00914E60">
        <w:trPr>
          <w:trHeight w:val="675"/>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依法经营情况（</w:t>
            </w:r>
            <w:r w:rsidRPr="005B016F">
              <w:rPr>
                <w:rFonts w:ascii="宋体" w:hAnsi="宋体" w:cs="宋体"/>
                <w:kern w:val="0"/>
                <w:sz w:val="24"/>
              </w:rPr>
              <w:t>12</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 xml:space="preserve">**00401 **00402 </w:t>
            </w:r>
            <w:r w:rsidRPr="005B016F">
              <w:rPr>
                <w:rFonts w:ascii="宋体" w:hAnsi="宋体" w:cs="宋体" w:hint="eastAsia"/>
                <w:kern w:val="0"/>
                <w:sz w:val="24"/>
              </w:rPr>
              <w:t>企业应坚持诚实守信，遵照依法批准的经营方式和经营范围从事经营活动，禁止任何虚假、欺骗行为。</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有擅自改变经营方式、经营范围和经营（仓库）地址从事药品经营活动；</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6</w:t>
            </w:r>
          </w:p>
        </w:tc>
      </w:tr>
      <w:tr w:rsidR="008776DB" w:rsidRPr="005B016F" w:rsidTr="00914E60">
        <w:trPr>
          <w:trHeight w:val="67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所经营的商品（药品、食品、保健食品、化妆品、医疗器械）有违反法律、法规、规章、规范性文件的行为；</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6</w:t>
            </w:r>
          </w:p>
        </w:tc>
      </w:tr>
      <w:tr w:rsidR="008776DB" w:rsidRPr="005B016F" w:rsidTr="00914E60">
        <w:trPr>
          <w:trHeight w:val="66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存在伪造处方、提供虚假资料等欺骗行为。</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6</w:t>
            </w:r>
          </w:p>
        </w:tc>
      </w:tr>
      <w:tr w:rsidR="008776DB" w:rsidRPr="005B016F" w:rsidTr="00914E60">
        <w:trPr>
          <w:trHeight w:val="465"/>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2</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服务内容</w:t>
            </w:r>
            <w:r w:rsidRPr="005B016F">
              <w:rPr>
                <w:rFonts w:ascii="宋体"/>
                <w:kern w:val="0"/>
                <w:sz w:val="24"/>
              </w:rPr>
              <w:br/>
            </w:r>
            <w:r w:rsidRPr="005B016F">
              <w:rPr>
                <w:rFonts w:ascii="宋体" w:hAnsi="宋体" w:cs="宋体" w:hint="eastAsia"/>
                <w:kern w:val="0"/>
                <w:sz w:val="24"/>
              </w:rPr>
              <w:t>公示情况（</w:t>
            </w:r>
            <w:r w:rsidRPr="005B016F">
              <w:rPr>
                <w:rFonts w:ascii="宋体" w:hAnsi="宋体" w:cs="宋体"/>
                <w:kern w:val="0"/>
                <w:sz w:val="24"/>
              </w:rPr>
              <w:t>1</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17</w:t>
            </w:r>
            <w:r w:rsidRPr="005B016F">
              <w:rPr>
                <w:rFonts w:ascii="宋体" w:hAnsi="宋体" w:cs="宋体" w:hint="eastAsia"/>
                <w:b/>
                <w:bCs/>
                <w:kern w:val="0"/>
                <w:sz w:val="24"/>
              </w:rPr>
              <w:t>4</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企业应在营业店堂明示服务公约，公布监督电话和设置顾客意见簿</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营业场所未张贴服务公约；</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1</w:t>
            </w:r>
          </w:p>
        </w:tc>
      </w:tr>
      <w:tr w:rsidR="008776DB" w:rsidRPr="005B016F" w:rsidTr="00914E60">
        <w:trPr>
          <w:trHeight w:val="45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营业场所未设置不合格药品回收箱；</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1</w:t>
            </w:r>
          </w:p>
        </w:tc>
      </w:tr>
      <w:tr w:rsidR="008776DB" w:rsidRPr="005B016F" w:rsidTr="00914E60">
        <w:trPr>
          <w:trHeight w:val="67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营业场所未公布药品监督管理部门的监督电话，设置顾客意见簿，及时处理顾客对药品质量的投诉。</w:t>
            </w:r>
            <w:r w:rsidRPr="005B016F">
              <w:rPr>
                <w:rFonts w:ascii="宋体" w:hAnsi="宋体" w:cs="宋体"/>
                <w:kern w:val="0"/>
                <w:sz w:val="24"/>
              </w:rPr>
              <w:t xml:space="preserve"> </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1</w:t>
            </w:r>
          </w:p>
        </w:tc>
      </w:tr>
      <w:tr w:rsidR="008776DB" w:rsidRPr="005B016F" w:rsidTr="00914E60">
        <w:trPr>
          <w:trHeight w:val="39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lastRenderedPageBreak/>
              <w:t>3</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店容店貌情况（</w:t>
            </w:r>
            <w:r w:rsidRPr="005B016F">
              <w:rPr>
                <w:rFonts w:ascii="宋体" w:hAnsi="宋体" w:cs="宋体"/>
                <w:kern w:val="0"/>
                <w:sz w:val="24"/>
              </w:rPr>
              <w:t>1</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17</w:t>
            </w:r>
            <w:r w:rsidRPr="005B016F">
              <w:rPr>
                <w:rFonts w:ascii="宋体" w:hAnsi="宋体" w:cs="宋体" w:hint="eastAsia"/>
                <w:b/>
                <w:bCs/>
                <w:kern w:val="0"/>
                <w:sz w:val="24"/>
              </w:rPr>
              <w:t>1</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企业在营业店堂内进行的广告宣传，应符合国家有关规定</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营业场所有杂物；</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1</w:t>
            </w:r>
          </w:p>
        </w:tc>
      </w:tr>
      <w:tr w:rsidR="008776DB" w:rsidRPr="005B016F" w:rsidTr="00914E60">
        <w:trPr>
          <w:trHeight w:val="40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营业场所有违法违规宣传品或宣传资料；</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1</w:t>
            </w:r>
          </w:p>
        </w:tc>
      </w:tr>
      <w:tr w:rsidR="008776DB" w:rsidRPr="005B016F" w:rsidTr="00914E60">
        <w:trPr>
          <w:trHeight w:val="42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营业场所或店堂门口有违法违规宣传广告。</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1</w:t>
            </w:r>
          </w:p>
        </w:tc>
      </w:tr>
      <w:tr w:rsidR="008776DB" w:rsidRPr="005B016F" w:rsidTr="00914E60">
        <w:trPr>
          <w:trHeight w:val="78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4</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药师在职</w:t>
            </w:r>
            <w:r w:rsidRPr="005B016F">
              <w:rPr>
                <w:rFonts w:ascii="宋体"/>
                <w:kern w:val="0"/>
                <w:sz w:val="24"/>
              </w:rPr>
              <w:br/>
            </w:r>
            <w:r w:rsidRPr="005B016F">
              <w:rPr>
                <w:rFonts w:ascii="宋体" w:hAnsi="宋体" w:cs="宋体" w:hint="eastAsia"/>
                <w:kern w:val="0"/>
                <w:sz w:val="24"/>
              </w:rPr>
              <w:t>在岗情况（</w:t>
            </w:r>
            <w:r w:rsidRPr="005B016F">
              <w:rPr>
                <w:rFonts w:ascii="宋体" w:hAnsi="宋体" w:cs="宋体"/>
                <w:kern w:val="0"/>
                <w:sz w:val="24"/>
              </w:rPr>
              <w:t>2</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16</w:t>
            </w:r>
            <w:r w:rsidRPr="005B016F">
              <w:rPr>
                <w:rFonts w:ascii="宋体" w:hAnsi="宋体" w:cs="宋体" w:hint="eastAsia"/>
                <w:b/>
                <w:bCs/>
                <w:kern w:val="0"/>
                <w:sz w:val="24"/>
              </w:rPr>
              <w:t>5</w:t>
            </w:r>
            <w:r w:rsidRPr="005B016F">
              <w:rPr>
                <w:rFonts w:ascii="宋体" w:hAnsi="宋体" w:cs="宋体"/>
                <w:b/>
                <w:bCs/>
                <w:kern w:val="0"/>
                <w:sz w:val="24"/>
              </w:rPr>
              <w:t>01</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6</w:t>
            </w:r>
            <w:r w:rsidRPr="005B016F">
              <w:rPr>
                <w:rFonts w:ascii="宋体" w:hAnsi="宋体" w:cs="宋体"/>
                <w:b/>
                <w:bCs/>
                <w:kern w:val="0"/>
                <w:sz w:val="24"/>
              </w:rPr>
              <w:t>02</w:t>
            </w:r>
            <w:r w:rsidRPr="005B016F">
              <w:rPr>
                <w:rFonts w:ascii="宋体" w:hAnsi="宋体" w:cs="宋体"/>
                <w:kern w:val="0"/>
                <w:sz w:val="24"/>
              </w:rPr>
              <w:t xml:space="preserve"> </w:t>
            </w:r>
            <w:r w:rsidRPr="005B016F">
              <w:rPr>
                <w:rFonts w:ascii="宋体" w:hAnsi="宋体" w:cs="宋体" w:hint="eastAsia"/>
                <w:kern w:val="0"/>
                <w:sz w:val="24"/>
              </w:rPr>
              <w:t>企业应在营业店堂的显著位置悬挂药品经营企业许可证、营业执照以及与执业人员要求相符的执业证明</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1.</w:t>
            </w:r>
            <w:r w:rsidRPr="005B016F">
              <w:rPr>
                <w:rFonts w:ascii="宋体" w:hAnsi="宋体" w:cs="宋体" w:hint="eastAsia"/>
                <w:kern w:val="0"/>
                <w:sz w:val="24"/>
              </w:rPr>
              <w:t>营业场所未公示企业《药品经营许可证》、</w:t>
            </w:r>
            <w:r w:rsidRPr="005B016F">
              <w:rPr>
                <w:rFonts w:ascii="宋体" w:hAnsi="宋体" w:cs="宋体"/>
                <w:kern w:val="0"/>
                <w:sz w:val="24"/>
              </w:rPr>
              <w:t>GSP</w:t>
            </w:r>
            <w:r w:rsidRPr="005B016F">
              <w:rPr>
                <w:rFonts w:ascii="宋体" w:hAnsi="宋体" w:cs="宋体" w:hint="eastAsia"/>
                <w:kern w:val="0"/>
                <w:sz w:val="24"/>
              </w:rPr>
              <w:t>证及营业执照等证照；</w:t>
            </w:r>
          </w:p>
        </w:tc>
        <w:tc>
          <w:tcPr>
            <w:tcW w:w="992"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992" w:type="dxa"/>
            <w:tcBorders>
              <w:top w:val="single" w:sz="4" w:space="0" w:color="auto"/>
              <w:left w:val="nil"/>
              <w:bottom w:val="single" w:sz="4" w:space="0" w:color="auto"/>
              <w:right w:val="single" w:sz="4" w:space="0" w:color="auto"/>
            </w:tcBorders>
            <w:vAlign w:val="center"/>
          </w:tcPr>
          <w:p w:rsidR="008776DB" w:rsidRPr="005B016F" w:rsidRDefault="008776DB" w:rsidP="00914E60">
            <w:pPr>
              <w:jc w:val="center"/>
              <w:rPr>
                <w:rFonts w:ascii="宋体"/>
                <w:kern w:val="0"/>
                <w:sz w:val="24"/>
              </w:rPr>
            </w:pPr>
            <w:r w:rsidRPr="005B016F">
              <w:rPr>
                <w:rFonts w:ascii="宋体" w:hAnsi="宋体" w:cs="宋体"/>
                <w:kern w:val="0"/>
                <w:sz w:val="24"/>
              </w:rPr>
              <w:t>1</w:t>
            </w:r>
          </w:p>
        </w:tc>
      </w:tr>
      <w:tr w:rsidR="008776DB" w:rsidRPr="005B016F" w:rsidTr="00914E60">
        <w:trPr>
          <w:trHeight w:val="45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营业场所未公示执业药师、药师（从业药师）资质；</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45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在岗执业药师、药师（从业药师）未挂牌或有兼职情况；；</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42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4. </w:t>
            </w:r>
            <w:r w:rsidRPr="005B016F">
              <w:rPr>
                <w:rFonts w:ascii="宋体" w:hAnsi="宋体" w:cs="宋体" w:hint="eastAsia"/>
                <w:kern w:val="0"/>
                <w:sz w:val="24"/>
              </w:rPr>
              <w:t>药师</w:t>
            </w:r>
            <w:proofErr w:type="gramStart"/>
            <w:r w:rsidRPr="005B016F">
              <w:rPr>
                <w:rFonts w:ascii="宋体" w:hAnsi="宋体" w:cs="宋体" w:hint="eastAsia"/>
                <w:kern w:val="0"/>
                <w:sz w:val="24"/>
              </w:rPr>
              <w:t>不</w:t>
            </w:r>
            <w:proofErr w:type="gramEnd"/>
            <w:r w:rsidRPr="005B016F">
              <w:rPr>
                <w:rFonts w:ascii="宋体" w:hAnsi="宋体" w:cs="宋体" w:hint="eastAsia"/>
                <w:kern w:val="0"/>
                <w:sz w:val="24"/>
              </w:rPr>
              <w:t>在岗，且未摆放暂时离岗告示。</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75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5</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药品销售</w:t>
            </w:r>
            <w:r w:rsidRPr="005B016F">
              <w:rPr>
                <w:rFonts w:ascii="宋体"/>
                <w:kern w:val="0"/>
                <w:sz w:val="24"/>
              </w:rPr>
              <w:br/>
            </w:r>
            <w:r w:rsidRPr="005B016F">
              <w:rPr>
                <w:rFonts w:ascii="宋体" w:hAnsi="宋体" w:cs="宋体" w:hint="eastAsia"/>
                <w:kern w:val="0"/>
                <w:sz w:val="24"/>
              </w:rPr>
              <w:t>规范情况（</w:t>
            </w:r>
            <w:r w:rsidRPr="005B016F">
              <w:rPr>
                <w:rFonts w:ascii="宋体" w:hAnsi="宋体" w:cs="宋体"/>
                <w:kern w:val="0"/>
                <w:sz w:val="24"/>
              </w:rPr>
              <w:t>6</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w:t>
            </w:r>
            <w:r w:rsidRPr="005B016F">
              <w:rPr>
                <w:rFonts w:ascii="宋体" w:hAnsi="宋体" w:cs="宋体" w:hint="eastAsia"/>
                <w:b/>
                <w:bCs/>
                <w:kern w:val="0"/>
                <w:sz w:val="24"/>
              </w:rPr>
              <w:t>68</w:t>
            </w:r>
            <w:r w:rsidRPr="005B016F">
              <w:rPr>
                <w:rFonts w:ascii="宋体" w:hAnsi="宋体" w:cs="宋体"/>
                <w:b/>
                <w:bCs/>
                <w:kern w:val="0"/>
                <w:sz w:val="24"/>
              </w:rPr>
              <w:t>01</w:t>
            </w:r>
            <w:r w:rsidRPr="005B016F">
              <w:rPr>
                <w:rFonts w:ascii="宋体" w:hAnsi="宋体" w:cs="宋体" w:hint="eastAsia"/>
                <w:b/>
                <w:bCs/>
                <w:kern w:val="0"/>
                <w:sz w:val="24"/>
              </w:rPr>
              <w:t>、</w:t>
            </w:r>
            <w:r w:rsidRPr="005B016F">
              <w:rPr>
                <w:rFonts w:ascii="宋体" w:hAnsi="宋体" w:cs="宋体"/>
                <w:b/>
                <w:bCs/>
                <w:kern w:val="0"/>
                <w:sz w:val="24"/>
              </w:rPr>
              <w:t>*17</w:t>
            </w:r>
            <w:r w:rsidRPr="005B016F">
              <w:rPr>
                <w:rFonts w:ascii="宋体" w:hAnsi="宋体" w:cs="宋体" w:hint="eastAsia"/>
                <w:b/>
                <w:bCs/>
                <w:kern w:val="0"/>
                <w:sz w:val="24"/>
              </w:rPr>
              <w:t>0</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企业销售药品必须开具销售凭证并做好销售记录</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proofErr w:type="gramStart"/>
            <w:r w:rsidRPr="005B016F">
              <w:rPr>
                <w:rFonts w:ascii="宋体" w:hAnsi="宋体" w:cs="宋体" w:hint="eastAsia"/>
                <w:kern w:val="0"/>
                <w:sz w:val="24"/>
              </w:rPr>
              <w:t>未凭个人</w:t>
            </w:r>
            <w:proofErr w:type="gramEnd"/>
            <w:r w:rsidRPr="005B016F">
              <w:rPr>
                <w:rFonts w:ascii="宋体" w:hAnsi="宋体" w:cs="宋体" w:hint="eastAsia"/>
                <w:kern w:val="0"/>
                <w:sz w:val="24"/>
              </w:rPr>
              <w:t>身份证限量销售含麻黄碱类复方制剂；</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67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未提供符合规定要求销售凭证（含兴奋剂药品应标注运动员慎用）。</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81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6</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计算机系统</w:t>
            </w:r>
            <w:r w:rsidRPr="005B016F">
              <w:rPr>
                <w:rFonts w:ascii="宋体"/>
                <w:kern w:val="0"/>
                <w:sz w:val="24"/>
              </w:rPr>
              <w:br/>
            </w:r>
            <w:r w:rsidRPr="005B016F">
              <w:rPr>
                <w:rFonts w:ascii="宋体" w:hAnsi="宋体" w:cs="宋体" w:hint="eastAsia"/>
                <w:kern w:val="0"/>
                <w:sz w:val="24"/>
              </w:rPr>
              <w:t>管理（</w:t>
            </w:r>
            <w:r w:rsidRPr="005B016F">
              <w:rPr>
                <w:rFonts w:ascii="宋体" w:hAnsi="宋体" w:cs="宋体"/>
                <w:kern w:val="0"/>
                <w:sz w:val="24"/>
              </w:rPr>
              <w:t>6</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**12</w:t>
            </w:r>
            <w:r w:rsidRPr="005B016F">
              <w:rPr>
                <w:rFonts w:ascii="宋体" w:hAnsi="宋体" w:cs="宋体" w:hint="eastAsia"/>
                <w:b/>
                <w:bCs/>
                <w:kern w:val="0"/>
                <w:sz w:val="24"/>
              </w:rPr>
              <w:t>1</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企业应当具有与其经营范围和规模相适应的经营条件，并按照规定设置计算机系统</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企业未设置计算机管理系统，不能全面控制药品进、销、</w:t>
            </w:r>
            <w:proofErr w:type="gramStart"/>
            <w:r w:rsidRPr="005B016F">
              <w:rPr>
                <w:rFonts w:ascii="宋体" w:hAnsi="宋体" w:cs="宋体" w:hint="eastAsia"/>
                <w:kern w:val="0"/>
                <w:sz w:val="24"/>
              </w:rPr>
              <w:t>存经营</w:t>
            </w:r>
            <w:proofErr w:type="gramEnd"/>
            <w:r w:rsidRPr="005B016F">
              <w:rPr>
                <w:rFonts w:ascii="宋体" w:hAnsi="宋体" w:cs="宋体" w:hint="eastAsia"/>
                <w:kern w:val="0"/>
                <w:sz w:val="24"/>
              </w:rPr>
              <w:t>质量管理；</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6</w:t>
            </w:r>
          </w:p>
        </w:tc>
      </w:tr>
      <w:tr w:rsidR="008776DB" w:rsidRPr="005B016F" w:rsidTr="00914E60">
        <w:trPr>
          <w:trHeight w:val="97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不能按本市药品监督管理部门的要求，上传信息至“药品零售企业远程动态监管平台系统”；</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73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不能将从外省市采购药品的信息上传至“上海市药品实时监控系统”。</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81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7</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主要负责人</w:t>
            </w:r>
            <w:r w:rsidRPr="005B016F">
              <w:rPr>
                <w:rFonts w:ascii="宋体"/>
                <w:kern w:val="0"/>
                <w:sz w:val="24"/>
              </w:rPr>
              <w:br/>
            </w:r>
            <w:r w:rsidRPr="005B016F">
              <w:rPr>
                <w:rFonts w:ascii="宋体" w:hAnsi="宋体" w:cs="宋体" w:hint="eastAsia"/>
                <w:kern w:val="0"/>
                <w:sz w:val="24"/>
              </w:rPr>
              <w:t>资格（</w:t>
            </w:r>
            <w:r w:rsidRPr="005B016F">
              <w:rPr>
                <w:rFonts w:ascii="宋体" w:hAnsi="宋体" w:cs="宋体"/>
                <w:kern w:val="0"/>
                <w:sz w:val="24"/>
              </w:rPr>
              <w:t>3</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*12</w:t>
            </w:r>
            <w:r w:rsidRPr="005B016F">
              <w:rPr>
                <w:rFonts w:ascii="宋体" w:hAnsi="宋体" w:cs="宋体" w:hint="eastAsia"/>
                <w:b/>
                <w:bCs/>
                <w:kern w:val="0"/>
                <w:sz w:val="24"/>
              </w:rPr>
              <w:t>5</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企业法定代表人或者企业负责人应当具备执业药师资格（连锁门店除外）</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1.</w:t>
            </w:r>
            <w:r w:rsidRPr="005B016F">
              <w:rPr>
                <w:rFonts w:hint="eastAsia"/>
              </w:rPr>
              <w:t xml:space="preserve"> </w:t>
            </w:r>
            <w:r w:rsidRPr="005B016F">
              <w:rPr>
                <w:rFonts w:ascii="宋体" w:hAnsi="宋体" w:cs="宋体" w:hint="eastAsia"/>
                <w:kern w:val="0"/>
                <w:sz w:val="24"/>
              </w:rPr>
              <w:t>药店法定代表人或企业负责人不是注册到店的执业药师（直营门店法定代表人是执业药师的除外）；</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67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企业负责人或质量负责人</w:t>
            </w:r>
            <w:proofErr w:type="gramStart"/>
            <w:r w:rsidRPr="005B016F">
              <w:rPr>
                <w:rFonts w:ascii="宋体" w:hAnsi="宋体" w:cs="宋体" w:hint="eastAsia"/>
                <w:kern w:val="0"/>
                <w:sz w:val="24"/>
              </w:rPr>
              <w:t>不</w:t>
            </w:r>
            <w:proofErr w:type="gramEnd"/>
            <w:r w:rsidRPr="005B016F">
              <w:rPr>
                <w:rFonts w:ascii="宋体" w:hAnsi="宋体" w:cs="宋体" w:hint="eastAsia"/>
                <w:kern w:val="0"/>
                <w:sz w:val="24"/>
              </w:rPr>
              <w:t>在职或有兼职。</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1275"/>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lastRenderedPageBreak/>
              <w:t>8</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药学人员配备（</w:t>
            </w:r>
            <w:r w:rsidRPr="005B016F">
              <w:rPr>
                <w:rFonts w:ascii="宋体" w:hAnsi="宋体" w:cs="宋体"/>
                <w:kern w:val="0"/>
                <w:sz w:val="24"/>
              </w:rPr>
              <w:t>3</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*12</w:t>
            </w:r>
            <w:r w:rsidRPr="005B016F">
              <w:rPr>
                <w:rFonts w:ascii="宋体" w:hAnsi="宋体" w:cs="宋体" w:hint="eastAsia"/>
                <w:b/>
                <w:bCs/>
                <w:kern w:val="0"/>
                <w:sz w:val="24"/>
              </w:rPr>
              <w:t>5</w:t>
            </w:r>
            <w:r w:rsidRPr="005B016F">
              <w:rPr>
                <w:rFonts w:ascii="宋体" w:hAnsi="宋体" w:cs="宋体"/>
                <w:b/>
                <w:bCs/>
                <w:kern w:val="0"/>
                <w:sz w:val="24"/>
              </w:rPr>
              <w:t>02</w:t>
            </w:r>
            <w:r w:rsidRPr="005B016F">
              <w:rPr>
                <w:rFonts w:ascii="宋体" w:hAnsi="宋体" w:cs="宋体"/>
                <w:kern w:val="0"/>
                <w:sz w:val="24"/>
              </w:rPr>
              <w:t xml:space="preserve"> </w:t>
            </w:r>
            <w:r w:rsidRPr="005B016F">
              <w:rPr>
                <w:rFonts w:ascii="宋体" w:hAnsi="宋体" w:cs="宋体" w:hint="eastAsia"/>
                <w:kern w:val="0"/>
                <w:sz w:val="24"/>
              </w:rPr>
              <w:t>企业应当按照国家有关规定配备执业药师，负责处方审核，指导合理用药</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企业未按照《上海市开办药品零售企业验收实施标准》有关规定，配备执业药师、从业药师和药师，负责处方审核，指导合理用药；</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99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经营中药饮片配方的药店，未配备具有中药专业的药师以上技术职称的人员，负责中药饮片审方质量。</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1680"/>
        </w:trPr>
        <w:tc>
          <w:tcPr>
            <w:tcW w:w="1039" w:type="dxa"/>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9</w:t>
            </w:r>
          </w:p>
        </w:tc>
        <w:tc>
          <w:tcPr>
            <w:tcW w:w="1727"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从业人员管理（</w:t>
            </w:r>
            <w:r w:rsidRPr="005B016F">
              <w:rPr>
                <w:rFonts w:ascii="宋体" w:hAnsi="宋体" w:cs="宋体"/>
                <w:kern w:val="0"/>
                <w:sz w:val="24"/>
              </w:rPr>
              <w:t>3</w:t>
            </w:r>
            <w:r w:rsidRPr="005B016F">
              <w:rPr>
                <w:rFonts w:ascii="宋体" w:hAnsi="宋体" w:cs="宋体" w:hint="eastAsia"/>
                <w:kern w:val="0"/>
                <w:sz w:val="24"/>
              </w:rPr>
              <w:t>）</w:t>
            </w:r>
          </w:p>
        </w:tc>
        <w:tc>
          <w:tcPr>
            <w:tcW w:w="3825"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w:t>
            </w:r>
            <w:r w:rsidRPr="005B016F">
              <w:rPr>
                <w:rFonts w:ascii="宋体" w:hAnsi="宋体" w:cs="宋体" w:hint="eastAsia"/>
                <w:b/>
                <w:bCs/>
                <w:kern w:val="0"/>
                <w:sz w:val="24"/>
              </w:rPr>
              <w:t>27</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企业各岗位人员应当接受相关法律法规及药品专业知识与技能的岗前培训和继续培训，以符合《规范》的要求</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企业从事药品经营活动工作人员，未经培训考核上岗。</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177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10</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健康档案管理（</w:t>
            </w:r>
            <w:r w:rsidRPr="005B016F">
              <w:rPr>
                <w:rFonts w:ascii="宋体" w:hAnsi="宋体" w:cs="宋体"/>
                <w:kern w:val="0"/>
                <w:sz w:val="24"/>
              </w:rPr>
              <w:t>1</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13</w:t>
            </w:r>
            <w:r w:rsidRPr="005B016F">
              <w:rPr>
                <w:rFonts w:ascii="宋体" w:hAnsi="宋体" w:cs="宋体" w:hint="eastAsia"/>
                <w:b/>
                <w:bCs/>
                <w:kern w:val="0"/>
                <w:sz w:val="24"/>
              </w:rPr>
              <w:t>1</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企业应当对直接接触药品岗位的人员进行岗前及年度健康检查，并建立健康档案</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企业未按规定对直接接触药品岗位的人员进行岗前及每年一次健康检查，并建立健康档案。健康档案包括</w:t>
            </w:r>
            <w:r w:rsidRPr="005B016F">
              <w:rPr>
                <w:rFonts w:ascii="宋体" w:hAnsi="宋体" w:cs="宋体"/>
                <w:kern w:val="0"/>
                <w:sz w:val="24"/>
              </w:rPr>
              <w:t>:</w:t>
            </w:r>
            <w:r w:rsidRPr="005B016F">
              <w:rPr>
                <w:rFonts w:ascii="宋体" w:hAnsi="宋体" w:cs="宋体"/>
                <w:kern w:val="0"/>
                <w:sz w:val="24"/>
              </w:rPr>
              <w:br/>
              <w:t>(1)</w:t>
            </w:r>
            <w:r w:rsidRPr="005B016F">
              <w:rPr>
                <w:rFonts w:ascii="宋体" w:hAnsi="宋体" w:cs="宋体" w:hint="eastAsia"/>
                <w:kern w:val="0"/>
                <w:sz w:val="24"/>
              </w:rPr>
              <w:t>年体检工作计划；</w:t>
            </w:r>
            <w:r w:rsidRPr="005B016F">
              <w:rPr>
                <w:rFonts w:ascii="宋体"/>
                <w:kern w:val="0"/>
                <w:sz w:val="24"/>
              </w:rPr>
              <w:br/>
            </w:r>
            <w:r w:rsidRPr="005B016F">
              <w:rPr>
                <w:rFonts w:ascii="宋体" w:hAnsi="宋体" w:cs="宋体"/>
                <w:kern w:val="0"/>
                <w:sz w:val="24"/>
              </w:rPr>
              <w:t>(2)</w:t>
            </w:r>
            <w:r w:rsidRPr="005B016F">
              <w:rPr>
                <w:rFonts w:ascii="宋体" w:hAnsi="宋体" w:cs="宋体" w:hint="eastAsia"/>
                <w:kern w:val="0"/>
                <w:sz w:val="24"/>
              </w:rPr>
              <w:t>体检证明原件（健康证、医院体检报告）；</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45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无体检汇总表。</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765"/>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11</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着装和工作牌管理（</w:t>
            </w:r>
            <w:r w:rsidRPr="005B016F">
              <w:rPr>
                <w:rFonts w:ascii="宋体" w:hAnsi="宋体" w:cs="宋体"/>
                <w:kern w:val="0"/>
                <w:sz w:val="24"/>
              </w:rPr>
              <w:t>2</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13</w:t>
            </w:r>
            <w:r w:rsidRPr="005B016F">
              <w:rPr>
                <w:rFonts w:ascii="宋体" w:hAnsi="宋体" w:cs="宋体" w:hint="eastAsia"/>
                <w:b/>
                <w:bCs/>
                <w:kern w:val="0"/>
                <w:sz w:val="24"/>
              </w:rPr>
              <w:t>0</w:t>
            </w:r>
            <w:r w:rsidRPr="005B016F">
              <w:rPr>
                <w:rFonts w:ascii="宋体" w:hAnsi="宋体" w:cs="宋体"/>
                <w:b/>
                <w:bCs/>
                <w:kern w:val="0"/>
                <w:sz w:val="24"/>
              </w:rPr>
              <w:t>01</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6</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在营业场所内，企业工作人员应当穿着整洁、卫生的工作服；佩戴有照片、姓名、岗位等内容的工作牌</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在营业场所内，企业工作人员穿着的工作服欠整洁、卫生；</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78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营业人员未佩戴有照片、姓名、岗位等内容的工作牌；</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75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执业药师</w:t>
            </w:r>
            <w:proofErr w:type="gramStart"/>
            <w:r w:rsidRPr="005B016F">
              <w:rPr>
                <w:rFonts w:ascii="宋体" w:hAnsi="宋体" w:cs="宋体" w:hint="eastAsia"/>
                <w:kern w:val="0"/>
                <w:sz w:val="24"/>
              </w:rPr>
              <w:t>未挂由药监</w:t>
            </w:r>
            <w:proofErr w:type="gramEnd"/>
            <w:r w:rsidRPr="005B016F">
              <w:rPr>
                <w:rFonts w:ascii="宋体" w:hAnsi="宋体" w:cs="宋体" w:hint="eastAsia"/>
                <w:kern w:val="0"/>
                <w:sz w:val="24"/>
              </w:rPr>
              <w:t>部门统一颁发的执业药师胸牌，药师未挂经医药商业协会统一登记的药师的胸牌。</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1005"/>
        </w:trPr>
        <w:tc>
          <w:tcPr>
            <w:tcW w:w="1039" w:type="dxa"/>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lastRenderedPageBreak/>
              <w:t>12</w:t>
            </w:r>
          </w:p>
        </w:tc>
        <w:tc>
          <w:tcPr>
            <w:tcW w:w="1727"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药品储存、陈列等区域不得存放私人用品（</w:t>
            </w:r>
            <w:r w:rsidRPr="005B016F">
              <w:rPr>
                <w:rFonts w:ascii="宋体" w:hAnsi="宋体" w:cs="宋体"/>
                <w:kern w:val="0"/>
                <w:sz w:val="24"/>
              </w:rPr>
              <w:t>3</w:t>
            </w:r>
            <w:r w:rsidRPr="005B016F">
              <w:rPr>
                <w:rFonts w:ascii="宋体" w:hAnsi="宋体" w:cs="宋体" w:hint="eastAsia"/>
                <w:kern w:val="0"/>
                <w:sz w:val="24"/>
              </w:rPr>
              <w:t>）</w:t>
            </w:r>
          </w:p>
        </w:tc>
        <w:tc>
          <w:tcPr>
            <w:tcW w:w="3825"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*13</w:t>
            </w:r>
            <w:r w:rsidRPr="005B016F">
              <w:rPr>
                <w:rFonts w:ascii="宋体" w:hAnsi="宋体" w:cs="宋体" w:hint="eastAsia"/>
                <w:b/>
                <w:bCs/>
                <w:kern w:val="0"/>
                <w:sz w:val="24"/>
              </w:rPr>
              <w:t>2</w:t>
            </w:r>
            <w:r w:rsidRPr="005B016F">
              <w:rPr>
                <w:rFonts w:ascii="宋体" w:hAnsi="宋体" w:cs="宋体"/>
                <w:b/>
                <w:bCs/>
                <w:kern w:val="0"/>
                <w:sz w:val="24"/>
              </w:rPr>
              <w:t xml:space="preserve">01 </w:t>
            </w:r>
            <w:r w:rsidRPr="005B016F">
              <w:rPr>
                <w:rFonts w:ascii="宋体" w:hAnsi="宋体" w:cs="宋体" w:hint="eastAsia"/>
                <w:kern w:val="0"/>
                <w:sz w:val="24"/>
              </w:rPr>
              <w:t>在药品储存、陈列等区域不得存放与经营活动无关的物品及私人用品</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在药品储存、陈列等区域存放与经营活动无关的物品及私人用品。</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75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13</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药品采购管理（</w:t>
            </w:r>
            <w:r w:rsidRPr="005B016F">
              <w:rPr>
                <w:rFonts w:ascii="宋体" w:hAnsi="宋体" w:cs="宋体"/>
                <w:kern w:val="0"/>
                <w:sz w:val="24"/>
              </w:rPr>
              <w:t>5</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*15</w:t>
            </w:r>
            <w:r w:rsidRPr="005B016F">
              <w:rPr>
                <w:rFonts w:ascii="宋体" w:hAnsi="宋体" w:cs="宋体" w:hint="eastAsia"/>
                <w:b/>
                <w:bCs/>
                <w:kern w:val="0"/>
                <w:sz w:val="24"/>
              </w:rPr>
              <w:t>2</w:t>
            </w:r>
            <w:r w:rsidRPr="005B016F">
              <w:rPr>
                <w:rFonts w:ascii="宋体" w:hAnsi="宋体" w:cs="宋体"/>
                <w:b/>
                <w:bCs/>
                <w:kern w:val="0"/>
                <w:sz w:val="24"/>
              </w:rPr>
              <w:t>01</w:t>
            </w:r>
            <w:r w:rsidRPr="005B016F">
              <w:rPr>
                <w:rFonts w:ascii="宋体" w:hAnsi="宋体" w:cs="宋体" w:hint="eastAsia"/>
                <w:b/>
                <w:bCs/>
                <w:kern w:val="0"/>
                <w:sz w:val="24"/>
              </w:rPr>
              <w:t>、</w:t>
            </w:r>
            <w:r w:rsidRPr="005B016F">
              <w:rPr>
                <w:rFonts w:ascii="宋体" w:hAnsi="宋体" w:cs="宋体"/>
                <w:b/>
                <w:bCs/>
                <w:kern w:val="0"/>
                <w:sz w:val="24"/>
              </w:rPr>
              <w:t>15</w:t>
            </w:r>
            <w:r w:rsidRPr="005B016F">
              <w:rPr>
                <w:rFonts w:ascii="宋体" w:hAnsi="宋体" w:cs="宋体" w:hint="eastAsia"/>
                <w:b/>
                <w:bCs/>
                <w:kern w:val="0"/>
                <w:sz w:val="24"/>
              </w:rPr>
              <w:t>2</w:t>
            </w:r>
            <w:r w:rsidRPr="005B016F">
              <w:rPr>
                <w:rFonts w:ascii="宋体" w:hAnsi="宋体" w:cs="宋体"/>
                <w:b/>
                <w:bCs/>
                <w:kern w:val="0"/>
                <w:sz w:val="24"/>
              </w:rPr>
              <w:t xml:space="preserve">02 </w:t>
            </w:r>
            <w:r w:rsidRPr="005B016F">
              <w:rPr>
                <w:rFonts w:ascii="宋体" w:hAnsi="宋体" w:cs="宋体" w:hint="eastAsia"/>
                <w:b/>
                <w:bCs/>
                <w:kern w:val="0"/>
                <w:sz w:val="24"/>
              </w:rPr>
              <w:t>、</w:t>
            </w:r>
            <w:r w:rsidRPr="005B016F">
              <w:rPr>
                <w:rFonts w:ascii="宋体" w:hAnsi="宋体" w:cs="宋体"/>
                <w:b/>
                <w:bCs/>
                <w:kern w:val="0"/>
                <w:sz w:val="24"/>
              </w:rPr>
              <w:t>15</w:t>
            </w:r>
            <w:r w:rsidRPr="005B016F">
              <w:rPr>
                <w:rFonts w:ascii="宋体" w:hAnsi="宋体" w:cs="宋体" w:hint="eastAsia"/>
                <w:b/>
                <w:bCs/>
                <w:kern w:val="0"/>
                <w:sz w:val="24"/>
              </w:rPr>
              <w:t>2</w:t>
            </w:r>
            <w:r w:rsidRPr="005B016F">
              <w:rPr>
                <w:rFonts w:ascii="宋体" w:hAnsi="宋体" w:cs="宋体"/>
                <w:b/>
                <w:bCs/>
                <w:kern w:val="0"/>
                <w:sz w:val="24"/>
              </w:rPr>
              <w:t>03</w:t>
            </w:r>
            <w:r w:rsidRPr="005B016F">
              <w:rPr>
                <w:rFonts w:ascii="宋体" w:hAnsi="宋体" w:cs="宋体"/>
                <w:kern w:val="0"/>
                <w:sz w:val="24"/>
              </w:rPr>
              <w:t xml:space="preserve"> </w:t>
            </w:r>
            <w:r w:rsidRPr="005B016F">
              <w:rPr>
                <w:rFonts w:ascii="宋体" w:hAnsi="宋体" w:cs="宋体" w:hint="eastAsia"/>
                <w:kern w:val="0"/>
                <w:sz w:val="24"/>
              </w:rPr>
              <w:t>企业采购药品应当确定供货单位的合法资格；确定所购入药品的合法性（连锁门店除外）</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未确定药品供货单位的合法资格，未核实供货单位销售人员的合法资格；</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73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未确定所购入药品的合法性，未与供货单位签订质量保证协议；</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903"/>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采购中涉及的首营企业、首营品种，未填写相关申请表格，经质量管理部门（人员）审核。</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1001"/>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14</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药品收货验收（</w:t>
            </w:r>
            <w:r w:rsidRPr="005B016F">
              <w:rPr>
                <w:rFonts w:ascii="宋体" w:hAnsi="宋体" w:cs="宋体"/>
                <w:kern w:val="0"/>
                <w:sz w:val="24"/>
              </w:rPr>
              <w:t>6</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*15</w:t>
            </w:r>
            <w:r w:rsidRPr="005B016F">
              <w:rPr>
                <w:rFonts w:ascii="宋体" w:hAnsi="宋体" w:cs="宋体" w:hint="eastAsia"/>
                <w:b/>
                <w:bCs/>
                <w:kern w:val="0"/>
                <w:sz w:val="24"/>
              </w:rPr>
              <w:t>3</w:t>
            </w:r>
            <w:r w:rsidRPr="005B016F">
              <w:rPr>
                <w:rFonts w:ascii="宋体" w:hAnsi="宋体" w:cs="宋体"/>
                <w:b/>
                <w:bCs/>
                <w:kern w:val="0"/>
                <w:sz w:val="24"/>
              </w:rPr>
              <w:t>01</w:t>
            </w:r>
            <w:r w:rsidRPr="005B016F">
              <w:rPr>
                <w:rFonts w:ascii="宋体" w:hAnsi="宋体" w:cs="宋体" w:hint="eastAsia"/>
                <w:b/>
                <w:bCs/>
                <w:kern w:val="0"/>
                <w:sz w:val="24"/>
              </w:rPr>
              <w:t>、</w:t>
            </w:r>
            <w:r w:rsidRPr="005B016F">
              <w:rPr>
                <w:rFonts w:ascii="宋体" w:hAnsi="宋体" w:cs="宋体"/>
                <w:b/>
                <w:bCs/>
                <w:kern w:val="0"/>
                <w:sz w:val="24"/>
              </w:rPr>
              <w:t>*15</w:t>
            </w:r>
            <w:r w:rsidRPr="005B016F">
              <w:rPr>
                <w:rFonts w:ascii="宋体" w:hAnsi="宋体" w:cs="宋体" w:hint="eastAsia"/>
                <w:b/>
                <w:bCs/>
                <w:kern w:val="0"/>
                <w:sz w:val="24"/>
              </w:rPr>
              <w:t>4</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药品到货时，收货人员应当按采购记录，对照供货单位的随货同行单（票）核实药品实物，做到票、账、货相符</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收货人员未查验随货同行单（票）以及相关的药品采购记录，无随货同行单（票）或无采购记录的没有拒收；</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1173"/>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对拆除药品的运输防护包装，收货人员未检查药品外包装是否完好，对出现破损、污染、标识不清等情况的药品，没有拒收；</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115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收货人员对药品收货与验收过程中出现的不符合质量标准或疑似假、劣药的情况，未交由质量管理部门（人员）按照有关规定进行处理，必要时上报药品监督管理部门。</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108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15</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票据管理（</w:t>
            </w:r>
            <w:r w:rsidRPr="005B016F">
              <w:rPr>
                <w:rFonts w:ascii="宋体" w:hAnsi="宋体" w:cs="宋体"/>
                <w:kern w:val="0"/>
                <w:sz w:val="24"/>
              </w:rPr>
              <w:t>6</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**15</w:t>
            </w:r>
            <w:r w:rsidRPr="005B016F">
              <w:rPr>
                <w:rFonts w:ascii="宋体" w:hAnsi="宋体" w:cs="宋体" w:hint="eastAsia"/>
                <w:b/>
                <w:bCs/>
                <w:kern w:val="0"/>
                <w:sz w:val="24"/>
              </w:rPr>
              <w:t>2</w:t>
            </w:r>
            <w:r w:rsidRPr="005B016F">
              <w:rPr>
                <w:rFonts w:ascii="宋体" w:hAnsi="宋体" w:cs="宋体"/>
                <w:b/>
                <w:bCs/>
                <w:kern w:val="0"/>
                <w:sz w:val="24"/>
              </w:rPr>
              <w:t>11</w:t>
            </w:r>
            <w:r w:rsidRPr="005B016F">
              <w:rPr>
                <w:rFonts w:ascii="宋体" w:hAnsi="宋体" w:cs="宋体"/>
                <w:kern w:val="0"/>
                <w:sz w:val="24"/>
              </w:rPr>
              <w:t xml:space="preserve"> </w:t>
            </w:r>
            <w:r w:rsidRPr="005B016F">
              <w:rPr>
                <w:rFonts w:ascii="宋体" w:hAnsi="宋体" w:cs="宋体" w:hint="eastAsia"/>
                <w:kern w:val="0"/>
                <w:sz w:val="24"/>
              </w:rPr>
              <w:t>发票上的购、</w:t>
            </w:r>
            <w:proofErr w:type="gramStart"/>
            <w:r w:rsidRPr="005B016F">
              <w:rPr>
                <w:rFonts w:ascii="宋体" w:hAnsi="宋体" w:cs="宋体" w:hint="eastAsia"/>
                <w:kern w:val="0"/>
                <w:sz w:val="24"/>
              </w:rPr>
              <w:t>销单位</w:t>
            </w:r>
            <w:proofErr w:type="gramEnd"/>
            <w:r w:rsidRPr="005B016F">
              <w:rPr>
                <w:rFonts w:ascii="宋体" w:hAnsi="宋体" w:cs="宋体" w:hint="eastAsia"/>
                <w:kern w:val="0"/>
                <w:sz w:val="24"/>
              </w:rPr>
              <w:t>名称及金额、品名应当与付款流向及金额、品名一致，并与财务账目内容相对应（连锁门店除外）</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发票上的购、</w:t>
            </w:r>
            <w:proofErr w:type="gramStart"/>
            <w:r w:rsidRPr="005B016F">
              <w:rPr>
                <w:rFonts w:ascii="宋体" w:hAnsi="宋体" w:cs="宋体" w:hint="eastAsia"/>
                <w:kern w:val="0"/>
                <w:sz w:val="24"/>
              </w:rPr>
              <w:t>销单位</w:t>
            </w:r>
            <w:proofErr w:type="gramEnd"/>
            <w:r w:rsidRPr="005B016F">
              <w:rPr>
                <w:rFonts w:ascii="宋体" w:hAnsi="宋体" w:cs="宋体" w:hint="eastAsia"/>
                <w:kern w:val="0"/>
                <w:sz w:val="24"/>
              </w:rPr>
              <w:t>名称及金额、品名与付款流向及金额、品名不一致；</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6</w:t>
            </w:r>
          </w:p>
        </w:tc>
      </w:tr>
      <w:tr w:rsidR="008776DB" w:rsidRPr="005B016F" w:rsidTr="00914E60">
        <w:trPr>
          <w:trHeight w:val="61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发票上供货单位地址与证照地址不一致。</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975"/>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lastRenderedPageBreak/>
              <w:t>16</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店堂、冰箱、冰柜等温湿度管理（</w:t>
            </w:r>
            <w:r w:rsidRPr="005B016F">
              <w:rPr>
                <w:rFonts w:ascii="宋体" w:hAnsi="宋体" w:cs="宋体"/>
                <w:kern w:val="0"/>
                <w:sz w:val="24"/>
              </w:rPr>
              <w:t>1</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w:t>
            </w:r>
            <w:r w:rsidRPr="005B016F">
              <w:rPr>
                <w:rFonts w:ascii="宋体" w:hAnsi="宋体" w:cs="宋体" w:hint="eastAsia"/>
                <w:b/>
                <w:bCs/>
                <w:kern w:val="0"/>
                <w:sz w:val="24"/>
              </w:rPr>
              <w:t>59</w:t>
            </w:r>
            <w:r w:rsidRPr="005B016F">
              <w:rPr>
                <w:rFonts w:ascii="宋体" w:hAnsi="宋体" w:cs="宋体"/>
                <w:b/>
                <w:bCs/>
                <w:kern w:val="0"/>
                <w:sz w:val="24"/>
              </w:rPr>
              <w:t>01</w:t>
            </w:r>
            <w:r w:rsidRPr="005B016F">
              <w:rPr>
                <w:rFonts w:ascii="宋体" w:hAnsi="宋体" w:cs="宋体"/>
                <w:kern w:val="0"/>
                <w:sz w:val="24"/>
              </w:rPr>
              <w:t xml:space="preserve"> </w:t>
            </w:r>
            <w:r w:rsidRPr="005B016F">
              <w:rPr>
                <w:rFonts w:ascii="宋体" w:hAnsi="宋体" w:cs="宋体" w:hint="eastAsia"/>
                <w:kern w:val="0"/>
                <w:sz w:val="24"/>
              </w:rPr>
              <w:t>企业应当对营业场所温度进行监测和调控，以使营业场所的温度符合常温要求</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企业未对营业场所温度进行监测和调控，以使营业场所的温度不符合常温</w:t>
            </w:r>
            <w:r w:rsidRPr="005B016F">
              <w:rPr>
                <w:rFonts w:ascii="宋体" w:hAnsi="宋体" w:cs="宋体"/>
                <w:kern w:val="0"/>
                <w:sz w:val="24"/>
              </w:rPr>
              <w:t>10-30</w:t>
            </w:r>
            <w:r w:rsidRPr="005B016F">
              <w:rPr>
                <w:rFonts w:ascii="宋体" w:hAnsi="宋体" w:cs="宋体" w:hint="eastAsia"/>
                <w:kern w:val="0"/>
                <w:sz w:val="24"/>
              </w:rPr>
              <w:t>度要求；</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1134"/>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企业未按规定对店堂、冰箱、冰柜等温湿度进行监测管理并作好记录（登录时间：上午、下午各一次）。</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870"/>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17</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药品陈列管理（</w:t>
            </w:r>
            <w:r w:rsidRPr="005B016F">
              <w:rPr>
                <w:rFonts w:ascii="宋体" w:hAnsi="宋体" w:cs="宋体"/>
                <w:kern w:val="0"/>
                <w:sz w:val="24"/>
              </w:rPr>
              <w:t>16</w:t>
            </w:r>
            <w:r w:rsidRPr="005B016F">
              <w:rPr>
                <w:rFonts w:ascii="宋体" w:hAnsi="宋体" w:cs="宋体" w:hint="eastAsia"/>
                <w:kern w:val="0"/>
                <w:sz w:val="24"/>
              </w:rPr>
              <w:t>）</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01</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05</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06</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16</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07</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02</w:t>
            </w:r>
            <w:r w:rsidRPr="005B016F">
              <w:rPr>
                <w:rFonts w:ascii="宋体" w:hAnsi="宋体" w:cs="宋体"/>
                <w:kern w:val="0"/>
                <w:sz w:val="24"/>
              </w:rPr>
              <w:t xml:space="preserve"> </w:t>
            </w:r>
            <w:r w:rsidRPr="005B016F">
              <w:rPr>
                <w:rFonts w:ascii="宋体" w:hAnsi="宋体" w:cs="宋体" w:hint="eastAsia"/>
                <w:kern w:val="0"/>
                <w:sz w:val="24"/>
              </w:rPr>
              <w:t>药品应当按剂型、用途以及储存要求分类陈列，并设置醒目标志</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未做到处方药、非处方药分区陈列，并有处方药、非处方药专用标识；陈列标志应清晰，应有规范的警示语、忠告语；</w:t>
            </w:r>
          </w:p>
        </w:tc>
        <w:tc>
          <w:tcPr>
            <w:tcW w:w="983"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01" w:type="dxa"/>
            <w:gridSpan w:val="2"/>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51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处方药采用开架自选的方式陈列和销售；</w:t>
            </w:r>
            <w:r w:rsidRPr="005B016F">
              <w:rPr>
                <w:rFonts w:ascii="宋体" w:hAnsi="宋体" w:cs="宋体"/>
                <w:kern w:val="0"/>
                <w:sz w:val="24"/>
              </w:rPr>
              <w:t xml:space="preserve"> </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36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外用药与其他药品未分开摆放；</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67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4. </w:t>
            </w:r>
            <w:r w:rsidRPr="005B016F">
              <w:rPr>
                <w:rFonts w:ascii="宋体" w:hAnsi="宋体" w:cs="宋体" w:hint="eastAsia"/>
                <w:kern w:val="0"/>
                <w:sz w:val="24"/>
              </w:rPr>
              <w:t>未做到经营“非药品”设置专区，与药品陈列区域明显隔离，并有醒目标志；</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66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5. </w:t>
            </w:r>
            <w:r w:rsidRPr="005B016F">
              <w:rPr>
                <w:rFonts w:ascii="宋体" w:hAnsi="宋体" w:cs="宋体" w:hint="eastAsia"/>
                <w:kern w:val="0"/>
                <w:sz w:val="24"/>
              </w:rPr>
              <w:t>麻黄碱复方制剂类药品、含兴奋剂类药品的标签上无显著标识。</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615"/>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18</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冷藏药品管理（9）</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**14</w:t>
            </w:r>
            <w:r w:rsidRPr="005B016F">
              <w:rPr>
                <w:rFonts w:ascii="宋体" w:hAnsi="宋体" w:cs="宋体" w:hint="eastAsia"/>
                <w:b/>
                <w:bCs/>
                <w:kern w:val="0"/>
                <w:sz w:val="24"/>
              </w:rPr>
              <w:t>5</w:t>
            </w:r>
            <w:r w:rsidRPr="005B016F">
              <w:rPr>
                <w:rFonts w:ascii="宋体" w:hAnsi="宋体" w:cs="宋体"/>
                <w:b/>
                <w:bCs/>
                <w:kern w:val="0"/>
                <w:sz w:val="24"/>
              </w:rPr>
              <w:t>04</w:t>
            </w:r>
            <w:r w:rsidRPr="005B016F">
              <w:rPr>
                <w:rFonts w:ascii="宋体" w:hAnsi="宋体" w:cs="宋体" w:hint="eastAsia"/>
                <w:b/>
                <w:bCs/>
                <w:kern w:val="0"/>
                <w:sz w:val="24"/>
              </w:rPr>
              <w:t>、</w:t>
            </w:r>
            <w:r w:rsidRPr="005B016F">
              <w:rPr>
                <w:rFonts w:ascii="宋体" w:hAnsi="宋体" w:cs="宋体"/>
                <w:b/>
                <w:bCs/>
                <w:kern w:val="0"/>
                <w:sz w:val="24"/>
              </w:rPr>
              <w:t>*15</w:t>
            </w:r>
            <w:r w:rsidRPr="005B016F">
              <w:rPr>
                <w:rFonts w:ascii="宋体" w:hAnsi="宋体" w:cs="宋体" w:hint="eastAsia"/>
                <w:b/>
                <w:bCs/>
                <w:kern w:val="0"/>
                <w:sz w:val="24"/>
              </w:rPr>
              <w:t>50</w:t>
            </w:r>
            <w:r w:rsidRPr="005B016F">
              <w:rPr>
                <w:rFonts w:ascii="宋体" w:hAnsi="宋体" w:cs="宋体"/>
                <w:b/>
                <w:bCs/>
                <w:kern w:val="0"/>
                <w:sz w:val="24"/>
              </w:rPr>
              <w:t>1</w:t>
            </w:r>
            <w:r w:rsidRPr="005B016F">
              <w:rPr>
                <w:rFonts w:ascii="宋体" w:hAnsi="宋体" w:cs="宋体"/>
                <w:kern w:val="0"/>
                <w:sz w:val="24"/>
              </w:rPr>
              <w:t xml:space="preserve"> </w:t>
            </w:r>
            <w:r w:rsidRPr="005B016F">
              <w:rPr>
                <w:rFonts w:ascii="宋体" w:hAnsi="宋体" w:cs="宋体" w:hint="eastAsia"/>
                <w:kern w:val="0"/>
                <w:sz w:val="24"/>
              </w:rPr>
              <w:t>经营冷藏药品的，应当配备专用冷藏设备</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经营冷藏药品的，企业未配备药品专用冰箱等冷藏设备；</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6</w:t>
            </w:r>
          </w:p>
        </w:tc>
      </w:tr>
      <w:tr w:rsidR="008776DB" w:rsidRPr="005B016F" w:rsidTr="00914E60">
        <w:trPr>
          <w:trHeight w:val="84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冷藏、冷冻药品到货时，未查验冷藏车、车载冷藏箱或保温箱的温度状况，未核查并留存运输过程和到货时的温度记录。</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825"/>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t>19</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中药饮片管理（6）</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*16</w:t>
            </w:r>
            <w:r w:rsidRPr="005B016F">
              <w:rPr>
                <w:rFonts w:ascii="宋体" w:hAnsi="宋体" w:cs="宋体" w:hint="eastAsia"/>
                <w:b/>
                <w:bCs/>
                <w:kern w:val="0"/>
                <w:sz w:val="24"/>
              </w:rPr>
              <w:t>4</w:t>
            </w:r>
            <w:r w:rsidRPr="005B016F">
              <w:rPr>
                <w:rFonts w:ascii="宋体" w:hAnsi="宋体" w:cs="宋体"/>
                <w:b/>
                <w:bCs/>
                <w:kern w:val="0"/>
                <w:sz w:val="24"/>
              </w:rPr>
              <w:t>10</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 xml:space="preserve">12 </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13</w:t>
            </w:r>
            <w:r w:rsidRPr="005B016F">
              <w:rPr>
                <w:rFonts w:ascii="宋体" w:hAnsi="宋体" w:cs="宋体" w:hint="eastAsia"/>
                <w:b/>
                <w:bCs/>
                <w:kern w:val="0"/>
                <w:sz w:val="24"/>
              </w:rPr>
              <w:t>、</w:t>
            </w:r>
            <w:r w:rsidRPr="005B016F">
              <w:rPr>
                <w:rFonts w:ascii="宋体" w:hAnsi="宋体" w:cs="宋体"/>
                <w:b/>
                <w:bCs/>
                <w:kern w:val="0"/>
                <w:sz w:val="24"/>
              </w:rPr>
              <w:t>16</w:t>
            </w:r>
            <w:r w:rsidRPr="005B016F">
              <w:rPr>
                <w:rFonts w:ascii="宋体" w:hAnsi="宋体" w:cs="宋体" w:hint="eastAsia"/>
                <w:b/>
                <w:bCs/>
                <w:kern w:val="0"/>
                <w:sz w:val="24"/>
              </w:rPr>
              <w:t>1</w:t>
            </w:r>
            <w:r w:rsidRPr="005B016F">
              <w:rPr>
                <w:rFonts w:ascii="宋体" w:hAnsi="宋体" w:cs="宋体"/>
                <w:b/>
                <w:bCs/>
                <w:kern w:val="0"/>
                <w:sz w:val="24"/>
              </w:rPr>
              <w:t>15</w:t>
            </w:r>
            <w:r w:rsidRPr="005B016F">
              <w:rPr>
                <w:rFonts w:ascii="宋体" w:hAnsi="宋体" w:cs="宋体"/>
                <w:kern w:val="0"/>
                <w:sz w:val="24"/>
              </w:rPr>
              <w:t xml:space="preserve"> </w:t>
            </w:r>
            <w:r w:rsidRPr="005B016F">
              <w:rPr>
                <w:rFonts w:ascii="宋体" w:hAnsi="宋体" w:cs="宋体" w:hint="eastAsia"/>
                <w:kern w:val="0"/>
                <w:sz w:val="24"/>
              </w:rPr>
              <w:t>中药饮片</w:t>
            </w:r>
            <w:proofErr w:type="gramStart"/>
            <w:r w:rsidRPr="005B016F">
              <w:rPr>
                <w:rFonts w:ascii="宋体" w:hAnsi="宋体" w:cs="宋体" w:hint="eastAsia"/>
                <w:kern w:val="0"/>
                <w:sz w:val="24"/>
              </w:rPr>
              <w:t>柜斗谱</w:t>
            </w:r>
            <w:proofErr w:type="gramEnd"/>
            <w:r w:rsidRPr="005B016F">
              <w:rPr>
                <w:rFonts w:ascii="宋体" w:hAnsi="宋体" w:cs="宋体" w:hint="eastAsia"/>
                <w:kern w:val="0"/>
                <w:sz w:val="24"/>
              </w:rPr>
              <w:t>的书写应当正名正字，不同批号的饮片装斗前</w:t>
            </w:r>
            <w:proofErr w:type="gramStart"/>
            <w:r w:rsidRPr="005B016F">
              <w:rPr>
                <w:rFonts w:ascii="宋体" w:hAnsi="宋体" w:cs="宋体" w:hint="eastAsia"/>
                <w:kern w:val="0"/>
                <w:sz w:val="24"/>
              </w:rPr>
              <w:t>应当清斗并</w:t>
            </w:r>
            <w:proofErr w:type="gramEnd"/>
            <w:r w:rsidRPr="005B016F">
              <w:rPr>
                <w:rFonts w:ascii="宋体" w:hAnsi="宋体" w:cs="宋体" w:hint="eastAsia"/>
                <w:kern w:val="0"/>
                <w:sz w:val="24"/>
              </w:rPr>
              <w:t>记录</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proofErr w:type="gramStart"/>
            <w:r w:rsidRPr="005B016F">
              <w:rPr>
                <w:rFonts w:ascii="宋体" w:hAnsi="宋体" w:cs="宋体" w:hint="eastAsia"/>
                <w:kern w:val="0"/>
                <w:sz w:val="24"/>
              </w:rPr>
              <w:t>柜斗谱</w:t>
            </w:r>
            <w:proofErr w:type="gramEnd"/>
            <w:r w:rsidRPr="005B016F">
              <w:rPr>
                <w:rFonts w:ascii="宋体" w:hAnsi="宋体" w:cs="宋体" w:hint="eastAsia"/>
                <w:kern w:val="0"/>
                <w:sz w:val="24"/>
              </w:rPr>
              <w:t>的书写未使用国家药典或上海炮制规范规定的正名正字；</w:t>
            </w:r>
            <w:r w:rsidRPr="005B016F">
              <w:rPr>
                <w:rFonts w:ascii="宋体" w:hAnsi="宋体" w:cs="宋体"/>
                <w:kern w:val="0"/>
                <w:sz w:val="24"/>
              </w:rPr>
              <w:t xml:space="preserve"> </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660"/>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中药饮片装斗前未有质量复核，斗内中药饮片有错斗、</w:t>
            </w:r>
            <w:proofErr w:type="gramStart"/>
            <w:r w:rsidRPr="005B016F">
              <w:rPr>
                <w:rFonts w:ascii="宋体" w:hAnsi="宋体" w:cs="宋体" w:hint="eastAsia"/>
                <w:kern w:val="0"/>
                <w:sz w:val="24"/>
              </w:rPr>
              <w:t>串斗等混药</w:t>
            </w:r>
            <w:proofErr w:type="gramEnd"/>
            <w:r w:rsidRPr="005B016F">
              <w:rPr>
                <w:rFonts w:ascii="宋体" w:hAnsi="宋体" w:cs="宋体" w:hint="eastAsia"/>
                <w:kern w:val="0"/>
                <w:sz w:val="24"/>
              </w:rPr>
              <w:t>现象；</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1</w:t>
            </w:r>
          </w:p>
        </w:tc>
      </w:tr>
      <w:tr w:rsidR="008776DB" w:rsidRPr="005B016F" w:rsidTr="00914E60">
        <w:trPr>
          <w:trHeight w:val="43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3. </w:t>
            </w:r>
            <w:r w:rsidRPr="005B016F">
              <w:rPr>
                <w:rFonts w:ascii="宋体" w:hAnsi="宋体" w:cs="宋体" w:hint="eastAsia"/>
                <w:kern w:val="0"/>
                <w:sz w:val="24"/>
              </w:rPr>
              <w:t>经营中药饮片未设专库存放。</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945"/>
        </w:trPr>
        <w:tc>
          <w:tcPr>
            <w:tcW w:w="1039"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b/>
                <w:bCs/>
                <w:kern w:val="0"/>
                <w:sz w:val="24"/>
              </w:rPr>
            </w:pPr>
            <w:r w:rsidRPr="005B016F">
              <w:rPr>
                <w:rFonts w:ascii="宋体" w:hAnsi="宋体" w:cs="宋体"/>
                <w:b/>
                <w:bCs/>
                <w:kern w:val="0"/>
                <w:sz w:val="24"/>
              </w:rPr>
              <w:lastRenderedPageBreak/>
              <w:t>20</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药品养护管理（5）</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b/>
                <w:bCs/>
                <w:kern w:val="0"/>
                <w:sz w:val="24"/>
              </w:rPr>
              <w:t>*16</w:t>
            </w:r>
            <w:r w:rsidRPr="005B016F">
              <w:rPr>
                <w:rFonts w:ascii="宋体" w:hAnsi="宋体" w:cs="宋体" w:hint="eastAsia"/>
                <w:b/>
                <w:bCs/>
                <w:kern w:val="0"/>
                <w:sz w:val="24"/>
              </w:rPr>
              <w:t>4</w:t>
            </w:r>
            <w:r w:rsidRPr="005B016F">
              <w:rPr>
                <w:rFonts w:ascii="宋体" w:hAnsi="宋体" w:cs="宋体"/>
                <w:b/>
                <w:bCs/>
                <w:kern w:val="0"/>
                <w:sz w:val="24"/>
              </w:rPr>
              <w:t>02</w:t>
            </w:r>
            <w:r w:rsidRPr="005B016F">
              <w:rPr>
                <w:rFonts w:ascii="宋体" w:hAnsi="宋体" w:cs="宋体" w:hint="eastAsia"/>
                <w:b/>
                <w:bCs/>
                <w:kern w:val="0"/>
                <w:sz w:val="24"/>
              </w:rPr>
              <w:t>、16403、</w:t>
            </w:r>
            <w:r w:rsidRPr="005B016F">
              <w:rPr>
                <w:rFonts w:ascii="宋体" w:hAnsi="宋体" w:cs="宋体"/>
                <w:b/>
                <w:bCs/>
                <w:kern w:val="0"/>
                <w:sz w:val="24"/>
              </w:rPr>
              <w:t>16</w:t>
            </w:r>
            <w:r w:rsidRPr="005B016F">
              <w:rPr>
                <w:rFonts w:ascii="宋体" w:hAnsi="宋体" w:cs="宋体" w:hint="eastAsia"/>
                <w:b/>
                <w:bCs/>
                <w:kern w:val="0"/>
                <w:sz w:val="24"/>
              </w:rPr>
              <w:t>4</w:t>
            </w:r>
            <w:r w:rsidRPr="005B016F">
              <w:rPr>
                <w:rFonts w:ascii="宋体" w:hAnsi="宋体" w:cs="宋体"/>
                <w:b/>
                <w:bCs/>
                <w:kern w:val="0"/>
                <w:sz w:val="24"/>
              </w:rPr>
              <w:t>20</w:t>
            </w:r>
            <w:r w:rsidRPr="005B016F">
              <w:rPr>
                <w:rFonts w:ascii="宋体" w:hAnsi="宋体" w:cs="宋体"/>
                <w:kern w:val="0"/>
                <w:sz w:val="24"/>
              </w:rPr>
              <w:t xml:space="preserve"> </w:t>
            </w:r>
            <w:r w:rsidRPr="005B016F">
              <w:rPr>
                <w:rFonts w:ascii="宋体" w:hAnsi="宋体" w:cs="宋体" w:hint="eastAsia"/>
                <w:kern w:val="0"/>
                <w:sz w:val="24"/>
              </w:rPr>
              <w:t>养护人员应当按照养护计划对库存药品的外观、包装等质量状况进行检查，并建立养护记录</w:t>
            </w: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1. </w:t>
            </w:r>
            <w:r w:rsidRPr="005B016F">
              <w:rPr>
                <w:rFonts w:ascii="宋体" w:hAnsi="宋体" w:cs="宋体" w:hint="eastAsia"/>
                <w:kern w:val="0"/>
                <w:sz w:val="24"/>
              </w:rPr>
              <w:t>养护人员未按照养护计划对库存（含陈列）药品的外观、包装等质量状况进行检查；</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hint="eastAsia"/>
                <w:kern w:val="0"/>
                <w:sz w:val="24"/>
              </w:rPr>
              <w:t>1</w:t>
            </w:r>
          </w:p>
        </w:tc>
      </w:tr>
      <w:tr w:rsidR="008776DB" w:rsidRPr="005B016F" w:rsidTr="00914E60">
        <w:trPr>
          <w:trHeight w:val="825"/>
        </w:trPr>
        <w:tc>
          <w:tcPr>
            <w:tcW w:w="1039"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b/>
                <w:bCs/>
                <w:kern w:val="0"/>
                <w:sz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3825" w:type="dxa"/>
            <w:vMerge/>
            <w:tcBorders>
              <w:top w:val="single" w:sz="4" w:space="0" w:color="auto"/>
              <w:left w:val="single" w:sz="4" w:space="0" w:color="auto"/>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p>
        </w:tc>
        <w:tc>
          <w:tcPr>
            <w:tcW w:w="6523" w:type="dxa"/>
            <w:gridSpan w:val="4"/>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left"/>
              <w:rPr>
                <w:rFonts w:ascii="宋体"/>
                <w:kern w:val="0"/>
                <w:sz w:val="24"/>
              </w:rPr>
            </w:pPr>
            <w:r w:rsidRPr="005B016F">
              <w:rPr>
                <w:rFonts w:ascii="宋体" w:hAnsi="宋体" w:cs="宋体"/>
                <w:kern w:val="0"/>
                <w:sz w:val="24"/>
              </w:rPr>
              <w:t xml:space="preserve">2. </w:t>
            </w:r>
            <w:r w:rsidRPr="005B016F">
              <w:rPr>
                <w:rFonts w:ascii="宋体" w:hAnsi="宋体" w:cs="宋体" w:hint="eastAsia"/>
                <w:kern w:val="0"/>
                <w:sz w:val="24"/>
              </w:rPr>
              <w:t>药品按包装标示要求陈列和储存。</w:t>
            </w:r>
          </w:p>
        </w:tc>
        <w:tc>
          <w:tcPr>
            <w:tcW w:w="966" w:type="dxa"/>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p>
        </w:tc>
        <w:tc>
          <w:tcPr>
            <w:tcW w:w="1018" w:type="dxa"/>
            <w:gridSpan w:val="3"/>
            <w:tcBorders>
              <w:top w:val="single" w:sz="4" w:space="0" w:color="auto"/>
              <w:left w:val="nil"/>
              <w:bottom w:val="single" w:sz="4" w:space="0" w:color="auto"/>
              <w:right w:val="single" w:sz="4" w:space="0" w:color="auto"/>
            </w:tcBorders>
            <w:vAlign w:val="center"/>
          </w:tcPr>
          <w:p w:rsidR="008776DB" w:rsidRPr="005B016F" w:rsidRDefault="008776DB" w:rsidP="00914E60">
            <w:pPr>
              <w:widowControl/>
              <w:jc w:val="center"/>
              <w:rPr>
                <w:rFonts w:ascii="宋体"/>
                <w:kern w:val="0"/>
                <w:sz w:val="24"/>
              </w:rPr>
            </w:pPr>
            <w:r w:rsidRPr="005B016F">
              <w:rPr>
                <w:rFonts w:ascii="宋体" w:hAnsi="宋体" w:cs="宋体"/>
                <w:kern w:val="0"/>
                <w:sz w:val="24"/>
              </w:rPr>
              <w:t>3</w:t>
            </w:r>
          </w:p>
        </w:tc>
      </w:tr>
      <w:tr w:rsidR="008776DB" w:rsidRPr="005B016F" w:rsidTr="00914E60">
        <w:trPr>
          <w:trHeight w:val="1660"/>
        </w:trPr>
        <w:tc>
          <w:tcPr>
            <w:tcW w:w="15098" w:type="dxa"/>
            <w:gridSpan w:val="11"/>
            <w:tcBorders>
              <w:top w:val="single" w:sz="4" w:space="0" w:color="auto"/>
              <w:left w:val="single" w:sz="4" w:space="0" w:color="auto"/>
              <w:right w:val="single" w:sz="4" w:space="0" w:color="auto"/>
            </w:tcBorders>
          </w:tcPr>
          <w:p w:rsidR="008776DB" w:rsidRPr="005B016F" w:rsidRDefault="008776DB" w:rsidP="00914E60">
            <w:pPr>
              <w:widowControl/>
              <w:rPr>
                <w:rFonts w:ascii="宋体" w:hAnsi="宋体" w:cs="宋体"/>
                <w:kern w:val="0"/>
                <w:sz w:val="24"/>
              </w:rPr>
            </w:pPr>
            <w:r w:rsidRPr="005B016F">
              <w:rPr>
                <w:rFonts w:ascii="宋体" w:hAnsi="宋体" w:cs="宋体" w:hint="eastAsia"/>
                <w:b/>
                <w:bCs/>
                <w:kern w:val="0"/>
                <w:sz w:val="30"/>
                <w:szCs w:val="30"/>
              </w:rPr>
              <w:t>本次需要说明的其他问题： 【备注】</w:t>
            </w:r>
          </w:p>
        </w:tc>
      </w:tr>
      <w:tr w:rsidR="008776DB" w:rsidRPr="005B016F" w:rsidTr="00914E60">
        <w:trPr>
          <w:trHeight w:hRule="exact" w:val="1353"/>
        </w:trPr>
        <w:tc>
          <w:tcPr>
            <w:tcW w:w="15098" w:type="dxa"/>
            <w:gridSpan w:val="11"/>
            <w:tcBorders>
              <w:top w:val="single" w:sz="4" w:space="0" w:color="auto"/>
              <w:left w:val="single" w:sz="4" w:space="0" w:color="auto"/>
              <w:right w:val="single" w:sz="4" w:space="0" w:color="auto"/>
            </w:tcBorders>
          </w:tcPr>
          <w:p w:rsidR="008776DB" w:rsidRPr="005B016F" w:rsidRDefault="008776DB" w:rsidP="00914E60">
            <w:pPr>
              <w:widowControl/>
              <w:rPr>
                <w:rFonts w:ascii="宋体" w:cs="宋体"/>
                <w:kern w:val="0"/>
              </w:rPr>
            </w:pPr>
          </w:p>
          <w:p w:rsidR="008776DB" w:rsidRPr="005B016F" w:rsidRDefault="008776DB" w:rsidP="00914E60">
            <w:pPr>
              <w:widowControl/>
              <w:ind w:firstLineChars="250" w:firstLine="600"/>
              <w:rPr>
                <w:rFonts w:ascii="宋体" w:hAnsi="宋体" w:cs="宋体"/>
                <w:b/>
                <w:bCs/>
                <w:kern w:val="0"/>
                <w:sz w:val="30"/>
                <w:szCs w:val="30"/>
              </w:rPr>
            </w:pPr>
            <w:r w:rsidRPr="005B016F">
              <w:rPr>
                <w:rFonts w:ascii="宋体" w:hAnsi="宋体" w:cs="宋体" w:hint="eastAsia"/>
                <w:kern w:val="0"/>
                <w:sz w:val="24"/>
              </w:rPr>
              <w:t>根据《上海市药品零售企业违法违规行为记分管理办法》，本机关对你（单位）本次检查中存在的违法违规</w:t>
            </w:r>
            <w:proofErr w:type="gramStart"/>
            <w:r w:rsidRPr="005B016F">
              <w:rPr>
                <w:rFonts w:ascii="宋体" w:hAnsi="宋体" w:cs="宋体" w:hint="eastAsia"/>
                <w:kern w:val="0"/>
                <w:sz w:val="24"/>
              </w:rPr>
              <w:t>行为行为</w:t>
            </w:r>
            <w:proofErr w:type="gramEnd"/>
            <w:r w:rsidRPr="005B016F">
              <w:rPr>
                <w:rFonts w:ascii="宋体" w:hAnsi="宋体" w:cs="宋体" w:hint="eastAsia"/>
                <w:kern w:val="0"/>
                <w:sz w:val="24"/>
              </w:rPr>
              <w:t>记 ______</w:t>
            </w:r>
            <w:r w:rsidRPr="005B016F">
              <w:rPr>
                <w:rFonts w:ascii="宋体" w:hAnsi="宋体" w:cs="宋体"/>
                <w:kern w:val="0"/>
                <w:sz w:val="24"/>
              </w:rPr>
              <w:t xml:space="preserve"> </w:t>
            </w:r>
            <w:r w:rsidRPr="005B016F">
              <w:rPr>
                <w:rFonts w:ascii="宋体" w:hAnsi="宋体" w:cs="宋体" w:hint="eastAsia"/>
                <w:kern w:val="0"/>
                <w:sz w:val="24"/>
              </w:rPr>
              <w:t>分,</w:t>
            </w:r>
            <w:r w:rsidRPr="005B016F">
              <w:rPr>
                <w:rFonts w:eastAsia="仿宋_GB2312" w:hAnsi="宋体" w:hint="eastAsia"/>
                <w:sz w:val="24"/>
              </w:rPr>
              <w:t xml:space="preserve"> </w:t>
            </w:r>
            <w:r w:rsidRPr="005B016F">
              <w:rPr>
                <w:rFonts w:ascii="宋体" w:cs="宋体" w:hint="eastAsia"/>
                <w:kern w:val="0"/>
                <w:sz w:val="24"/>
              </w:rPr>
              <w:t>如你单位对本次记分有异议的，可自收到本告知书之日起</w:t>
            </w:r>
            <w:r w:rsidRPr="005B016F">
              <w:rPr>
                <w:rFonts w:ascii="宋体" w:cs="宋体"/>
                <w:kern w:val="0"/>
                <w:sz w:val="24"/>
              </w:rPr>
              <w:t>30</w:t>
            </w:r>
            <w:proofErr w:type="gramStart"/>
            <w:r w:rsidRPr="005B016F">
              <w:rPr>
                <w:rFonts w:ascii="宋体" w:cs="宋体" w:hint="eastAsia"/>
                <w:kern w:val="0"/>
                <w:sz w:val="24"/>
              </w:rPr>
              <w:t>日内向</w:t>
            </w:r>
            <w:proofErr w:type="gramEnd"/>
            <w:r w:rsidRPr="005B016F">
              <w:rPr>
                <w:rFonts w:ascii="宋体" w:cs="宋体" w:hint="eastAsia"/>
                <w:kern w:val="0"/>
                <w:sz w:val="24"/>
              </w:rPr>
              <w:t>上海市__________区市场监督管理局申请复核。</w:t>
            </w:r>
          </w:p>
        </w:tc>
      </w:tr>
      <w:tr w:rsidR="008776DB" w:rsidRPr="005B016F" w:rsidTr="00914E60">
        <w:trPr>
          <w:trHeight w:val="2633"/>
        </w:trPr>
        <w:tc>
          <w:tcPr>
            <w:tcW w:w="7709" w:type="dxa"/>
            <w:gridSpan w:val="4"/>
            <w:tcBorders>
              <w:top w:val="single" w:sz="4" w:space="0" w:color="auto"/>
              <w:left w:val="single" w:sz="4" w:space="0" w:color="auto"/>
              <w:right w:val="single" w:sz="4" w:space="0" w:color="auto"/>
            </w:tcBorders>
          </w:tcPr>
          <w:p w:rsidR="008776DB" w:rsidRPr="005B016F" w:rsidRDefault="008776DB" w:rsidP="00914E60">
            <w:pPr>
              <w:rPr>
                <w:rFonts w:ascii="宋体" w:hAnsi="宋体" w:cs="宋体"/>
                <w:kern w:val="0"/>
                <w:sz w:val="24"/>
              </w:rPr>
            </w:pPr>
            <w:r w:rsidRPr="005B016F">
              <w:rPr>
                <w:rFonts w:ascii="宋体" w:hAnsi="宋体" w:cs="宋体" w:hint="eastAsia"/>
                <w:kern w:val="0"/>
                <w:sz w:val="24"/>
              </w:rPr>
              <w:t xml:space="preserve">检查人员签名：                  </w:t>
            </w:r>
          </w:p>
          <w:p w:rsidR="008776DB" w:rsidRPr="005B016F" w:rsidRDefault="008776DB" w:rsidP="00914E60">
            <w:pPr>
              <w:jc w:val="right"/>
              <w:rPr>
                <w:rFonts w:ascii="宋体" w:hAnsi="宋体" w:cs="宋体"/>
                <w:kern w:val="0"/>
                <w:sz w:val="24"/>
              </w:rPr>
            </w:pPr>
          </w:p>
          <w:p w:rsidR="008776DB" w:rsidRPr="005B016F" w:rsidRDefault="008776DB" w:rsidP="00914E60">
            <w:pPr>
              <w:jc w:val="right"/>
              <w:rPr>
                <w:rFonts w:ascii="宋体" w:hAnsi="宋体" w:cs="宋体"/>
                <w:kern w:val="0"/>
                <w:sz w:val="24"/>
              </w:rPr>
            </w:pPr>
          </w:p>
          <w:p w:rsidR="008776DB" w:rsidRPr="005B016F" w:rsidRDefault="008776DB" w:rsidP="00914E60">
            <w:pPr>
              <w:jc w:val="right"/>
              <w:rPr>
                <w:rFonts w:ascii="宋体" w:hAnsi="宋体" w:cs="宋体"/>
                <w:kern w:val="0"/>
                <w:sz w:val="24"/>
              </w:rPr>
            </w:pPr>
          </w:p>
          <w:p w:rsidR="008776DB" w:rsidRPr="005B016F" w:rsidRDefault="008776DB" w:rsidP="00914E60">
            <w:pPr>
              <w:jc w:val="right"/>
              <w:rPr>
                <w:rFonts w:ascii="宋体" w:hAnsi="宋体" w:cs="宋体"/>
                <w:kern w:val="0"/>
                <w:sz w:val="24"/>
              </w:rPr>
            </w:pPr>
          </w:p>
          <w:p w:rsidR="008776DB" w:rsidRPr="005B016F" w:rsidRDefault="008776DB" w:rsidP="00914E60">
            <w:pPr>
              <w:jc w:val="right"/>
              <w:rPr>
                <w:rFonts w:ascii="宋体" w:hAnsi="宋体" w:cs="宋体"/>
                <w:kern w:val="0"/>
                <w:sz w:val="24"/>
              </w:rPr>
            </w:pPr>
          </w:p>
          <w:p w:rsidR="008776DB" w:rsidRPr="005B016F" w:rsidRDefault="008776DB" w:rsidP="00914E60">
            <w:pPr>
              <w:widowControl/>
              <w:ind w:firstLineChars="1900" w:firstLine="4560"/>
              <w:rPr>
                <w:rFonts w:ascii="宋体" w:hAnsi="宋体" w:cs="宋体"/>
                <w:kern w:val="0"/>
                <w:sz w:val="24"/>
              </w:rPr>
            </w:pPr>
          </w:p>
          <w:p w:rsidR="008776DB" w:rsidRPr="005B016F" w:rsidRDefault="008776DB" w:rsidP="00914E60">
            <w:pPr>
              <w:widowControl/>
              <w:ind w:firstLineChars="2200" w:firstLine="5280"/>
              <w:rPr>
                <w:rFonts w:ascii="宋体" w:hAnsi="宋体" w:cs="宋体"/>
                <w:kern w:val="0"/>
                <w:sz w:val="24"/>
              </w:rPr>
            </w:pPr>
            <w:r w:rsidRPr="005B016F">
              <w:rPr>
                <w:rFonts w:ascii="宋体" w:hAnsi="宋体" w:cs="宋体" w:hint="eastAsia"/>
                <w:kern w:val="0"/>
                <w:sz w:val="24"/>
              </w:rPr>
              <w:t>年    月    日</w:t>
            </w:r>
          </w:p>
        </w:tc>
        <w:tc>
          <w:tcPr>
            <w:tcW w:w="7389" w:type="dxa"/>
            <w:gridSpan w:val="7"/>
            <w:tcBorders>
              <w:top w:val="single" w:sz="4" w:space="0" w:color="auto"/>
              <w:left w:val="single" w:sz="4" w:space="0" w:color="auto"/>
              <w:right w:val="single" w:sz="4" w:space="0" w:color="auto"/>
            </w:tcBorders>
          </w:tcPr>
          <w:p w:rsidR="008776DB" w:rsidRPr="005B016F" w:rsidRDefault="008776DB" w:rsidP="00914E60">
            <w:pPr>
              <w:rPr>
                <w:rFonts w:ascii="宋体" w:hAnsi="宋体" w:cs="宋体"/>
                <w:kern w:val="0"/>
                <w:sz w:val="24"/>
              </w:rPr>
            </w:pPr>
            <w:r w:rsidRPr="005B016F">
              <w:rPr>
                <w:rFonts w:ascii="宋体" w:hAnsi="宋体" w:cs="宋体" w:hint="eastAsia"/>
                <w:kern w:val="0"/>
                <w:sz w:val="24"/>
              </w:rPr>
              <w:t>被检查人意见：</w:t>
            </w:r>
          </w:p>
          <w:p w:rsidR="008776DB" w:rsidRPr="005B016F" w:rsidRDefault="008776DB" w:rsidP="00914E60">
            <w:pPr>
              <w:rPr>
                <w:rFonts w:ascii="宋体" w:hAnsi="宋体" w:cs="宋体"/>
                <w:kern w:val="0"/>
                <w:sz w:val="24"/>
              </w:rPr>
            </w:pPr>
          </w:p>
          <w:p w:rsidR="008776DB" w:rsidRPr="005B016F" w:rsidRDefault="008776DB" w:rsidP="00914E60">
            <w:pPr>
              <w:rPr>
                <w:rFonts w:ascii="宋体" w:hAnsi="宋体" w:cs="宋体"/>
                <w:kern w:val="0"/>
                <w:sz w:val="24"/>
              </w:rPr>
            </w:pPr>
          </w:p>
          <w:p w:rsidR="008776DB" w:rsidRPr="005B016F" w:rsidRDefault="008776DB" w:rsidP="00914E60">
            <w:pPr>
              <w:rPr>
                <w:rFonts w:ascii="宋体" w:hAnsi="宋体" w:cs="宋体"/>
                <w:kern w:val="0"/>
                <w:sz w:val="24"/>
              </w:rPr>
            </w:pPr>
          </w:p>
          <w:p w:rsidR="008776DB" w:rsidRPr="005B016F" w:rsidRDefault="008776DB" w:rsidP="00914E60">
            <w:pPr>
              <w:rPr>
                <w:rFonts w:ascii="宋体" w:hAnsi="宋体" w:cs="宋体"/>
                <w:kern w:val="0"/>
                <w:sz w:val="24"/>
              </w:rPr>
            </w:pPr>
          </w:p>
          <w:p w:rsidR="008776DB" w:rsidRPr="005B016F" w:rsidRDefault="008776DB" w:rsidP="00914E60">
            <w:pPr>
              <w:rPr>
                <w:rFonts w:ascii="宋体" w:hAnsi="宋体" w:cs="宋体"/>
                <w:kern w:val="0"/>
                <w:sz w:val="24"/>
              </w:rPr>
            </w:pPr>
            <w:r w:rsidRPr="005B016F">
              <w:rPr>
                <w:rFonts w:ascii="宋体" w:hAnsi="宋体" w:cs="宋体" w:hint="eastAsia"/>
                <w:kern w:val="0"/>
                <w:sz w:val="24"/>
              </w:rPr>
              <w:t>被检查人签名：</w:t>
            </w:r>
          </w:p>
          <w:p w:rsidR="008776DB" w:rsidRPr="005B016F" w:rsidRDefault="008776DB" w:rsidP="00914E60">
            <w:pPr>
              <w:rPr>
                <w:rFonts w:ascii="宋体" w:hAnsi="宋体" w:cs="宋体"/>
                <w:kern w:val="0"/>
                <w:sz w:val="24"/>
              </w:rPr>
            </w:pPr>
            <w:r w:rsidRPr="005B016F">
              <w:rPr>
                <w:rFonts w:ascii="宋体" w:hAnsi="宋体" w:cs="宋体" w:hint="eastAsia"/>
                <w:kern w:val="0"/>
                <w:sz w:val="24"/>
              </w:rPr>
              <w:t>（单位加盖公章）</w:t>
            </w:r>
          </w:p>
          <w:p w:rsidR="008776DB" w:rsidRPr="005B016F" w:rsidRDefault="008776DB" w:rsidP="00914E60">
            <w:pPr>
              <w:rPr>
                <w:rFonts w:ascii="宋体" w:hAnsi="宋体" w:cs="宋体"/>
                <w:kern w:val="0"/>
                <w:sz w:val="24"/>
              </w:rPr>
            </w:pPr>
            <w:r w:rsidRPr="005B016F">
              <w:rPr>
                <w:rFonts w:ascii="宋体" w:hAnsi="宋体" w:cs="宋体" w:hint="eastAsia"/>
                <w:kern w:val="0"/>
                <w:sz w:val="24"/>
              </w:rPr>
              <w:t>见证人（必要时）签名：</w:t>
            </w:r>
          </w:p>
          <w:p w:rsidR="008776DB" w:rsidRPr="005B016F" w:rsidRDefault="008776DB" w:rsidP="00914E60">
            <w:pPr>
              <w:widowControl/>
              <w:rPr>
                <w:rFonts w:ascii="宋体" w:hAnsi="宋体" w:cs="宋体"/>
                <w:kern w:val="0"/>
                <w:sz w:val="24"/>
              </w:rPr>
            </w:pPr>
            <w:r w:rsidRPr="005B016F">
              <w:rPr>
                <w:rFonts w:ascii="宋体" w:hAnsi="宋体" w:cs="宋体" w:hint="eastAsia"/>
                <w:kern w:val="0"/>
                <w:sz w:val="24"/>
              </w:rPr>
              <w:t xml:space="preserve">                                            年    月    日</w:t>
            </w:r>
          </w:p>
        </w:tc>
      </w:tr>
      <w:tr w:rsidR="008776DB" w:rsidRPr="005B016F" w:rsidTr="00914E60">
        <w:trPr>
          <w:trHeight w:val="312"/>
        </w:trPr>
        <w:tc>
          <w:tcPr>
            <w:tcW w:w="15098" w:type="dxa"/>
            <w:gridSpan w:val="11"/>
            <w:tcBorders>
              <w:top w:val="single" w:sz="4" w:space="0" w:color="000000"/>
              <w:right w:val="nil"/>
            </w:tcBorders>
            <w:vAlign w:val="center"/>
          </w:tcPr>
          <w:p w:rsidR="008776DB" w:rsidRPr="005B016F" w:rsidRDefault="008776DB" w:rsidP="00914E60">
            <w:pPr>
              <w:widowControl/>
              <w:jc w:val="left"/>
              <w:rPr>
                <w:rFonts w:ascii="宋体"/>
                <w:b/>
                <w:bCs/>
                <w:kern w:val="0"/>
                <w:sz w:val="22"/>
              </w:rPr>
            </w:pPr>
            <w:r w:rsidRPr="005B016F">
              <w:rPr>
                <w:rFonts w:ascii="宋体" w:hAnsi="宋体" w:cs="宋体" w:hint="eastAsia"/>
                <w:kern w:val="0"/>
                <w:sz w:val="22"/>
                <w:szCs w:val="22"/>
              </w:rPr>
              <w:t>备注：</w:t>
            </w:r>
            <w:r w:rsidRPr="005B016F">
              <w:rPr>
                <w:rFonts w:ascii="宋体" w:hAnsi="宋体" w:cs="宋体"/>
                <w:kern w:val="0"/>
                <w:sz w:val="22"/>
                <w:szCs w:val="22"/>
              </w:rPr>
              <w:t>1</w:t>
            </w:r>
            <w:r w:rsidRPr="005B016F">
              <w:rPr>
                <w:rFonts w:ascii="宋体" w:hAnsi="宋体" w:cs="宋体" w:hint="eastAsia"/>
                <w:kern w:val="0"/>
                <w:sz w:val="22"/>
                <w:szCs w:val="22"/>
              </w:rPr>
              <w:t>、每条具体检查内容，单独记分；但同一检查项目的记分不超过该检查项目的总分值。</w:t>
            </w:r>
            <w:r w:rsidRPr="005B016F">
              <w:rPr>
                <w:rFonts w:ascii="宋体" w:hAnsi="宋体" w:cs="宋体"/>
                <w:kern w:val="0"/>
                <w:sz w:val="22"/>
                <w:szCs w:val="22"/>
              </w:rPr>
              <w:t xml:space="preserve">                                                                                                 2</w:t>
            </w:r>
            <w:r w:rsidRPr="005B016F">
              <w:rPr>
                <w:rFonts w:ascii="宋体" w:hAnsi="宋体" w:cs="宋体" w:hint="eastAsia"/>
                <w:kern w:val="0"/>
                <w:sz w:val="22"/>
                <w:szCs w:val="22"/>
              </w:rPr>
              <w:t>、检查中发现企业有违反</w:t>
            </w:r>
            <w:r w:rsidRPr="005B016F">
              <w:rPr>
                <w:rFonts w:ascii="宋体" w:hAnsi="宋体" w:cs="宋体"/>
                <w:kern w:val="0"/>
                <w:sz w:val="22"/>
                <w:szCs w:val="22"/>
              </w:rPr>
              <w:t>GSP</w:t>
            </w:r>
            <w:r w:rsidRPr="005B016F">
              <w:rPr>
                <w:rFonts w:ascii="宋体" w:hAnsi="宋体" w:cs="宋体" w:hint="eastAsia"/>
                <w:kern w:val="0"/>
                <w:sz w:val="22"/>
                <w:szCs w:val="22"/>
              </w:rPr>
              <w:t>条款其他内容（除日常检查</w:t>
            </w:r>
            <w:r w:rsidRPr="005B016F">
              <w:rPr>
                <w:rFonts w:ascii="宋体" w:hAnsi="宋体" w:cs="宋体"/>
                <w:kern w:val="0"/>
                <w:sz w:val="22"/>
                <w:szCs w:val="22"/>
              </w:rPr>
              <w:t>20</w:t>
            </w:r>
            <w:r w:rsidRPr="005B016F">
              <w:rPr>
                <w:rFonts w:ascii="宋体" w:hAnsi="宋体" w:cs="宋体" w:hint="eastAsia"/>
                <w:kern w:val="0"/>
                <w:sz w:val="22"/>
                <w:szCs w:val="22"/>
              </w:rPr>
              <w:t>条以外）的，严重缺陷记</w:t>
            </w:r>
            <w:r w:rsidRPr="005B016F">
              <w:rPr>
                <w:rFonts w:ascii="宋体" w:hAnsi="宋体" w:cs="宋体"/>
                <w:kern w:val="0"/>
                <w:sz w:val="22"/>
                <w:szCs w:val="22"/>
              </w:rPr>
              <w:t>6</w:t>
            </w:r>
            <w:r w:rsidRPr="005B016F">
              <w:rPr>
                <w:rFonts w:ascii="宋体" w:hAnsi="宋体" w:cs="宋体" w:hint="eastAsia"/>
                <w:kern w:val="0"/>
                <w:sz w:val="22"/>
                <w:szCs w:val="22"/>
              </w:rPr>
              <w:t>分、主要缺陷记</w:t>
            </w:r>
            <w:r w:rsidRPr="005B016F">
              <w:rPr>
                <w:rFonts w:ascii="宋体" w:hAnsi="宋体" w:cs="宋体"/>
                <w:kern w:val="0"/>
                <w:sz w:val="22"/>
                <w:szCs w:val="22"/>
              </w:rPr>
              <w:t>3</w:t>
            </w:r>
            <w:r w:rsidRPr="005B016F">
              <w:rPr>
                <w:rFonts w:ascii="宋体" w:hAnsi="宋体" w:cs="宋体" w:hint="eastAsia"/>
                <w:kern w:val="0"/>
                <w:sz w:val="22"/>
                <w:szCs w:val="22"/>
              </w:rPr>
              <w:t>分，一般缺陷记</w:t>
            </w:r>
            <w:r w:rsidRPr="005B016F">
              <w:rPr>
                <w:rFonts w:ascii="宋体" w:hAnsi="宋体" w:cs="宋体"/>
                <w:kern w:val="0"/>
                <w:sz w:val="22"/>
                <w:szCs w:val="22"/>
              </w:rPr>
              <w:t>1</w:t>
            </w:r>
            <w:r w:rsidRPr="005B016F">
              <w:rPr>
                <w:rFonts w:ascii="宋体" w:hAnsi="宋体" w:cs="宋体" w:hint="eastAsia"/>
                <w:kern w:val="0"/>
                <w:sz w:val="22"/>
                <w:szCs w:val="22"/>
              </w:rPr>
              <w:t>分。</w:t>
            </w:r>
          </w:p>
        </w:tc>
      </w:tr>
    </w:tbl>
    <w:p w:rsidR="008776DB" w:rsidRDefault="008776DB" w:rsidP="008776DB">
      <w:pPr>
        <w:spacing w:line="360" w:lineRule="exact"/>
        <w:ind w:rightChars="37" w:right="78"/>
        <w:rPr>
          <w:rFonts w:ascii="仿宋_GB2312" w:eastAsia="仿宋_GB2312"/>
          <w:color w:val="000000"/>
          <w:sz w:val="28"/>
          <w:szCs w:val="28"/>
        </w:rPr>
        <w:sectPr w:rsidR="008776DB" w:rsidSect="005B016F">
          <w:pgSz w:w="16838" w:h="11906" w:orient="landscape"/>
          <w:pgMar w:top="1361" w:right="1418" w:bottom="1361" w:left="1418" w:header="851" w:footer="1077" w:gutter="0"/>
          <w:cols w:space="425"/>
          <w:docGrid w:type="linesAndChars" w:linePitch="312"/>
        </w:sectPr>
      </w:pPr>
    </w:p>
    <w:p w:rsidR="008776DB" w:rsidRPr="005B016F" w:rsidRDefault="008776DB" w:rsidP="008776DB">
      <w:pPr>
        <w:widowControl/>
        <w:ind w:leftChars="-85" w:left="-178" w:rightChars="-156" w:right="-328" w:firstLineChars="75" w:firstLine="240"/>
        <w:jc w:val="left"/>
        <w:rPr>
          <w:rFonts w:ascii="黑体" w:eastAsia="黑体" w:hAnsi="宋体" w:hint="eastAsia"/>
          <w:color w:val="000000"/>
          <w:kern w:val="0"/>
          <w:sz w:val="24"/>
        </w:rPr>
      </w:pPr>
      <w:r w:rsidRPr="005B016F">
        <w:rPr>
          <w:rFonts w:ascii="黑体" w:eastAsia="黑体" w:cs="楷体_GB2312" w:hint="eastAsia"/>
          <w:kern w:val="0"/>
          <w:sz w:val="32"/>
          <w:szCs w:val="32"/>
        </w:rPr>
        <w:lastRenderedPageBreak/>
        <w:t>附件二</w:t>
      </w:r>
    </w:p>
    <w:p w:rsidR="008776DB" w:rsidRDefault="008776DB" w:rsidP="008776DB">
      <w:pPr>
        <w:pStyle w:val="ParaAttribute4"/>
        <w:ind w:firstLine="0"/>
        <w:jc w:val="center"/>
        <w:rPr>
          <w:rStyle w:val="CharAttribute6"/>
          <w:rFonts w:eastAsia="仿宋_GB2312" w:hAnsi="黑体"/>
        </w:rPr>
      </w:pPr>
      <w:r>
        <w:rPr>
          <w:rStyle w:val="CharAttribute6"/>
          <w:rFonts w:eastAsia="仿宋_GB2312" w:hAnsi="黑体" w:hint="eastAsia"/>
        </w:rPr>
        <w:t>上海市</w:t>
      </w:r>
      <w:r w:rsidRPr="00350BE7">
        <w:rPr>
          <w:rStyle w:val="CharAttribute6"/>
          <w:rFonts w:eastAsia="仿宋_GB2312" w:hAnsi="黑体"/>
          <w:u w:val="single"/>
        </w:rPr>
        <w:t xml:space="preserve">        </w:t>
      </w:r>
      <w:r>
        <w:rPr>
          <w:rStyle w:val="CharAttribute6"/>
          <w:rFonts w:eastAsia="仿宋_GB2312" w:hAnsi="黑体" w:hint="eastAsia"/>
        </w:rPr>
        <w:t>区市场监督管理局</w:t>
      </w:r>
    </w:p>
    <w:p w:rsidR="008776DB" w:rsidRDefault="008776DB" w:rsidP="008776DB">
      <w:pPr>
        <w:pStyle w:val="ParaAttribute4"/>
        <w:spacing w:after="240"/>
        <w:ind w:firstLine="0"/>
        <w:jc w:val="center"/>
        <w:rPr>
          <w:rStyle w:val="CharAttribute6"/>
          <w:rFonts w:eastAsia="仿宋_GB2312" w:hAnsi="黑体"/>
          <w:sz w:val="36"/>
          <w:szCs w:val="36"/>
        </w:rPr>
      </w:pPr>
      <w:r>
        <w:rPr>
          <w:rStyle w:val="CharAttribute6"/>
          <w:rFonts w:eastAsia="仿宋_GB2312" w:hAnsi="黑体" w:hint="eastAsia"/>
          <w:sz w:val="36"/>
          <w:szCs w:val="36"/>
        </w:rPr>
        <w:t>药品零售企业违法违规行为记分告知书</w:t>
      </w:r>
    </w:p>
    <w:p w:rsidR="008776DB" w:rsidRDefault="008776DB" w:rsidP="008776DB">
      <w:pPr>
        <w:pStyle w:val="ParaAttribute4"/>
        <w:snapToGrid w:val="0"/>
        <w:spacing w:line="288" w:lineRule="auto"/>
        <w:ind w:firstLine="0"/>
        <w:jc w:val="center"/>
        <w:rPr>
          <w:rStyle w:val="CharAttribute6"/>
          <w:rFonts w:ascii="宋体" w:eastAsia="宋体" w:hAnsi="宋体"/>
          <w:sz w:val="28"/>
          <w:szCs w:val="28"/>
          <w:u w:val="single"/>
        </w:rPr>
      </w:pPr>
      <w:r>
        <w:rPr>
          <w:rFonts w:ascii="仿宋_GB2312" w:eastAsia="仿宋_GB2312" w:cs="仿宋_GB2312" w:hint="eastAsia"/>
          <w:sz w:val="24"/>
          <w:szCs w:val="24"/>
        </w:rPr>
        <w:t>第</w:t>
      </w:r>
      <w:r>
        <w:rPr>
          <w:rFonts w:ascii="仿宋_GB2312" w:eastAsia="仿宋_GB2312" w:cs="仿宋_GB2312"/>
          <w:sz w:val="24"/>
          <w:szCs w:val="24"/>
        </w:rPr>
        <w:t xml:space="preserve">             </w:t>
      </w:r>
      <w:r>
        <w:rPr>
          <w:rFonts w:ascii="仿宋_GB2312" w:eastAsia="仿宋_GB2312" w:cs="仿宋_GB2312" w:hint="eastAsia"/>
          <w:sz w:val="24"/>
          <w:szCs w:val="24"/>
        </w:rPr>
        <w:t>号（第</w:t>
      </w:r>
      <w:r>
        <w:rPr>
          <w:rFonts w:ascii="仿宋_GB2312" w:eastAsia="仿宋_GB2312" w:cs="仿宋_GB2312"/>
          <w:sz w:val="24"/>
          <w:szCs w:val="24"/>
        </w:rPr>
        <w:t xml:space="preserve">   </w:t>
      </w:r>
      <w:r>
        <w:rPr>
          <w:rFonts w:ascii="仿宋_GB2312" w:eastAsia="仿宋_GB2312" w:cs="仿宋_GB2312" w:hint="eastAsia"/>
          <w:sz w:val="24"/>
          <w:szCs w:val="24"/>
        </w:rPr>
        <w:t>联）</w:t>
      </w:r>
    </w:p>
    <w:p w:rsidR="008776DB" w:rsidRDefault="008776DB" w:rsidP="008776DB">
      <w:pPr>
        <w:spacing w:line="280" w:lineRule="exact"/>
        <w:rPr>
          <w:rFonts w:ascii="仿宋_GB2312" w:eastAsia="仿宋_GB2312" w:hAnsi="Courier New"/>
          <w:sz w:val="24"/>
        </w:rPr>
      </w:pPr>
      <w:r>
        <w:rPr>
          <w:rFonts w:ascii="Calibri" w:hAnsi="Calibri" w:cs="Calibri"/>
          <w:noProof/>
          <w:szCs w:val="21"/>
        </w:rPr>
        <mc:AlternateContent>
          <mc:Choice Requires="wps">
            <w:drawing>
              <wp:anchor distT="4294967295" distB="4294967295" distL="114300" distR="114300" simplePos="0" relativeHeight="251659264" behindDoc="0" locked="0" layoutInCell="1" allowOverlap="1">
                <wp:simplePos x="0" y="0"/>
                <wp:positionH relativeFrom="column">
                  <wp:posOffset>-3810</wp:posOffset>
                </wp:positionH>
                <wp:positionV relativeFrom="paragraph">
                  <wp:posOffset>15240</wp:posOffset>
                </wp:positionV>
                <wp:extent cx="5661025" cy="0"/>
                <wp:effectExtent l="15875" t="17145" r="19050" b="20955"/>
                <wp:wrapTight wrapText="bothSides">
                  <wp:wrapPolygon edited="0">
                    <wp:start x="0" y="-2147483648"/>
                    <wp:lineTo x="0" y="-2147483648"/>
                    <wp:lineTo x="596" y="-2147483648"/>
                    <wp:lineTo x="596" y="-2147483648"/>
                    <wp:lineTo x="0" y="-2147483648"/>
                  </wp:wrapPolygon>
                </wp:wrapTight>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pt" to="445.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" strokeweight="2.25pt">
                <w10:wrap type="tight"/>
              </v:line>
            </w:pict>
          </mc:Fallback>
        </mc:AlternateContent>
      </w:r>
    </w:p>
    <w:p w:rsidR="008776DB" w:rsidRPr="00350BE7" w:rsidRDefault="008776DB" w:rsidP="008776DB">
      <w:pPr>
        <w:spacing w:line="360" w:lineRule="auto"/>
        <w:rPr>
          <w:rFonts w:ascii="宋体"/>
          <w:sz w:val="24"/>
          <w:u w:val="single"/>
        </w:rPr>
      </w:pPr>
      <w:r>
        <w:rPr>
          <w:rFonts w:ascii="仿宋_GB2312" w:eastAsia="仿宋_GB2312" w:hAnsi="Courier New" w:cs="仿宋_GB2312" w:hint="eastAsia"/>
          <w:sz w:val="24"/>
        </w:rPr>
        <w:t>企业：</w:t>
      </w:r>
      <w:r w:rsidRPr="00350BE7">
        <w:rPr>
          <w:rFonts w:ascii="仿宋_GB2312" w:eastAsia="仿宋_GB2312" w:hAnsi="Courier New" w:cs="仿宋_GB2312"/>
          <w:sz w:val="24"/>
          <w:u w:val="single"/>
        </w:rPr>
        <w:t xml:space="preserve">                            </w:t>
      </w:r>
      <w:r>
        <w:rPr>
          <w:rFonts w:ascii="仿宋_GB2312" w:eastAsia="仿宋_GB2312" w:hAnsi="Courier New" w:cs="仿宋_GB2312" w:hint="eastAsia"/>
          <w:sz w:val="24"/>
        </w:rPr>
        <w:t>法定代表人（企业负责人）：</w:t>
      </w:r>
      <w:r w:rsidRPr="00350BE7">
        <w:rPr>
          <w:rFonts w:ascii="仿宋_GB2312" w:eastAsia="仿宋_GB2312" w:hAnsi="Courier New" w:cs="仿宋_GB2312"/>
          <w:sz w:val="24"/>
          <w:u w:val="single"/>
        </w:rPr>
        <w:t xml:space="preserve">                    </w:t>
      </w:r>
    </w:p>
    <w:p w:rsidR="008776DB" w:rsidRPr="00350BE7" w:rsidRDefault="008776DB" w:rsidP="008776DB">
      <w:pPr>
        <w:spacing w:line="360" w:lineRule="auto"/>
        <w:rPr>
          <w:rFonts w:ascii="仿宋_GB2312" w:eastAsia="仿宋_GB2312"/>
          <w:b/>
          <w:bCs/>
          <w:sz w:val="24"/>
          <w:u w:val="single"/>
        </w:rPr>
      </w:pPr>
      <w:r>
        <w:rPr>
          <w:rFonts w:ascii="仿宋_GB2312" w:eastAsia="仿宋_GB2312" w:hAnsi="Courier New" w:cs="仿宋_GB2312" w:hint="eastAsia"/>
          <w:sz w:val="24"/>
        </w:rPr>
        <w:t>地址：</w:t>
      </w:r>
      <w:r w:rsidRPr="00350BE7">
        <w:rPr>
          <w:rFonts w:ascii="仿宋_GB2312" w:eastAsia="仿宋_GB2312" w:hAnsi="Courier New" w:cs="仿宋_GB2312"/>
          <w:sz w:val="24"/>
          <w:u w:val="single"/>
        </w:rPr>
        <w:t xml:space="preserve">                                         </w:t>
      </w:r>
      <w:r>
        <w:rPr>
          <w:rFonts w:ascii="仿宋_GB2312" w:eastAsia="仿宋_GB2312" w:hAnsi="Courier New" w:cs="仿宋_GB2312"/>
          <w:sz w:val="24"/>
          <w:u w:val="single"/>
        </w:rPr>
        <w:t xml:space="preserve">                                </w:t>
      </w:r>
    </w:p>
    <w:p w:rsidR="008776DB" w:rsidRDefault="008776DB" w:rsidP="008776DB">
      <w:pPr>
        <w:pStyle w:val="ParaAttribute4"/>
        <w:snapToGrid w:val="0"/>
        <w:spacing w:line="360" w:lineRule="auto"/>
        <w:ind w:firstLine="0"/>
        <w:rPr>
          <w:rStyle w:val="CharAttribute6"/>
          <w:rFonts w:ascii="宋体" w:eastAsia="宋体" w:hAnsi="宋体"/>
          <w:sz w:val="28"/>
          <w:szCs w:val="28"/>
        </w:rPr>
      </w:pPr>
    </w:p>
    <w:p w:rsidR="008776DB" w:rsidRDefault="008776DB" w:rsidP="008776DB">
      <w:pPr>
        <w:pStyle w:val="ParaAttribute4"/>
        <w:snapToGrid w:val="0"/>
        <w:spacing w:line="360" w:lineRule="auto"/>
        <w:ind w:firstLineChars="200" w:firstLine="480"/>
        <w:rPr>
          <w:rStyle w:val="CharAttribute6"/>
          <w:rFonts w:eastAsia="仿宋_GB2312" w:hAnsi="宋体"/>
          <w:sz w:val="24"/>
          <w:szCs w:val="24"/>
        </w:rPr>
      </w:pPr>
      <w:r>
        <w:rPr>
          <w:rFonts w:ascii="仿宋_GB2312" w:eastAsia="仿宋_GB2312" w:cs="仿宋_GB2312" w:hint="eastAsia"/>
          <w:sz w:val="24"/>
          <w:szCs w:val="24"/>
        </w:rPr>
        <w:t>当事人于</w:t>
      </w:r>
      <w:r w:rsidRPr="00350BE7">
        <w:rPr>
          <w:rFonts w:ascii="仿宋_GB2312" w:eastAsia="仿宋_GB2312" w:cs="仿宋_GB2312"/>
          <w:sz w:val="24"/>
          <w:szCs w:val="24"/>
          <w:u w:val="single"/>
        </w:rPr>
        <w:t xml:space="preserve">                      </w:t>
      </w:r>
      <w:r>
        <w:rPr>
          <w:rFonts w:ascii="仿宋_GB2312" w:eastAsia="仿宋_GB2312" w:cs="仿宋_GB2312" w:hint="eastAsia"/>
          <w:sz w:val="24"/>
          <w:szCs w:val="24"/>
        </w:rPr>
        <w:t>（时间</w:t>
      </w:r>
      <w:r>
        <w:rPr>
          <w:rFonts w:ascii="仿宋_GB2312" w:eastAsia="仿宋_GB2312" w:cs="仿宋_GB2312"/>
          <w:sz w:val="24"/>
          <w:szCs w:val="24"/>
        </w:rPr>
        <w:t>/</w:t>
      </w:r>
      <w:r>
        <w:rPr>
          <w:rFonts w:ascii="仿宋_GB2312" w:eastAsia="仿宋_GB2312" w:cs="仿宋_GB2312" w:hint="eastAsia"/>
          <w:sz w:val="24"/>
          <w:szCs w:val="24"/>
        </w:rPr>
        <w:t>期间），在</w:t>
      </w:r>
      <w:r w:rsidRPr="00350BE7">
        <w:rPr>
          <w:rFonts w:ascii="仿宋_GB2312" w:eastAsia="仿宋_GB2312" w:cs="仿宋_GB2312"/>
          <w:sz w:val="24"/>
          <w:szCs w:val="24"/>
          <w:u w:val="single"/>
        </w:rPr>
        <w:t xml:space="preserve">                           </w:t>
      </w:r>
      <w:r>
        <w:rPr>
          <w:rFonts w:ascii="仿宋_GB2312" w:eastAsia="仿宋_GB2312" w:cs="仿宋_GB2312"/>
          <w:sz w:val="24"/>
          <w:szCs w:val="24"/>
          <w:u w:val="single"/>
        </w:rPr>
        <w:t xml:space="preserve"> </w:t>
      </w:r>
      <w:r>
        <w:rPr>
          <w:rFonts w:ascii="仿宋_GB2312" w:eastAsia="仿宋_GB2312" w:cs="仿宋_GB2312" w:hint="eastAsia"/>
          <w:sz w:val="24"/>
          <w:szCs w:val="24"/>
        </w:rPr>
        <w:t>（地点），</w:t>
      </w:r>
      <w:r w:rsidRPr="003F1E06">
        <w:rPr>
          <w:rStyle w:val="CharAttribute6"/>
          <w:rFonts w:eastAsia="仿宋_GB2312" w:hAnsi="宋体" w:hint="eastAsia"/>
          <w:sz w:val="24"/>
          <w:szCs w:val="24"/>
        </w:rPr>
        <w:t>（从事何种行为或者受到何种行政处罚）</w:t>
      </w:r>
      <w:r>
        <w:rPr>
          <w:rStyle w:val="CharAttribute6"/>
          <w:rFonts w:eastAsia="仿宋_GB2312" w:hAnsi="宋体" w:hint="eastAsia"/>
          <w:sz w:val="24"/>
          <w:szCs w:val="24"/>
        </w:rPr>
        <w:t>。根据《上海市药品零售企业违法违规行为记分管理办法》，本机关对你（单位）的上述行为记</w:t>
      </w:r>
      <w:r w:rsidRPr="00350BE7">
        <w:rPr>
          <w:rStyle w:val="CharAttribute6"/>
          <w:rFonts w:eastAsia="仿宋_GB2312" w:hAnsi="宋体"/>
          <w:sz w:val="24"/>
          <w:szCs w:val="24"/>
          <w:u w:val="single"/>
        </w:rPr>
        <w:t xml:space="preserve">        </w:t>
      </w:r>
      <w:r>
        <w:rPr>
          <w:rStyle w:val="CharAttribute6"/>
          <w:rFonts w:eastAsia="仿宋_GB2312" w:hAnsi="宋体" w:hint="eastAsia"/>
          <w:sz w:val="24"/>
          <w:szCs w:val="24"/>
        </w:rPr>
        <w:t>分。</w:t>
      </w:r>
    </w:p>
    <w:p w:rsidR="008776DB" w:rsidRDefault="008776DB" w:rsidP="008776DB">
      <w:pPr>
        <w:pStyle w:val="ParaAttribute4"/>
        <w:snapToGrid w:val="0"/>
        <w:spacing w:line="360" w:lineRule="auto"/>
        <w:ind w:firstLineChars="200" w:firstLine="480"/>
        <w:rPr>
          <w:rStyle w:val="CharAttribute6"/>
          <w:rFonts w:eastAsia="仿宋_GB2312" w:hAnsi="宋体"/>
          <w:sz w:val="24"/>
          <w:szCs w:val="24"/>
        </w:rPr>
      </w:pPr>
      <w:r>
        <w:rPr>
          <w:rStyle w:val="CharAttribute6"/>
          <w:rFonts w:eastAsia="仿宋_GB2312" w:hAnsi="宋体" w:hint="eastAsia"/>
          <w:sz w:val="24"/>
          <w:szCs w:val="24"/>
        </w:rPr>
        <w:t>如你单位对本次记分有异议的，可自收到本告知书之日起</w:t>
      </w:r>
      <w:r>
        <w:rPr>
          <w:rStyle w:val="CharAttribute6"/>
          <w:rFonts w:eastAsia="仿宋_GB2312" w:hAnsi="宋体"/>
          <w:sz w:val="24"/>
          <w:szCs w:val="24"/>
        </w:rPr>
        <w:t>30</w:t>
      </w:r>
      <w:proofErr w:type="gramStart"/>
      <w:r>
        <w:rPr>
          <w:rStyle w:val="CharAttribute6"/>
          <w:rFonts w:eastAsia="仿宋_GB2312" w:hAnsi="宋体" w:hint="eastAsia"/>
          <w:sz w:val="24"/>
          <w:szCs w:val="24"/>
        </w:rPr>
        <w:t>日内向</w:t>
      </w:r>
      <w:proofErr w:type="gramEnd"/>
      <w:r>
        <w:rPr>
          <w:rStyle w:val="CharAttribute6"/>
          <w:rFonts w:eastAsia="仿宋_GB2312" w:hAnsi="宋体" w:hint="eastAsia"/>
          <w:sz w:val="24"/>
          <w:szCs w:val="24"/>
        </w:rPr>
        <w:t>上海市区市场监督管理局申请复核。</w:t>
      </w:r>
    </w:p>
    <w:p w:rsidR="008776DB" w:rsidRDefault="008776DB" w:rsidP="008776DB">
      <w:pPr>
        <w:pStyle w:val="ParaAttribute4"/>
        <w:snapToGrid w:val="0"/>
        <w:spacing w:line="360" w:lineRule="auto"/>
        <w:rPr>
          <w:rStyle w:val="CharAttribute6"/>
          <w:rFonts w:ascii="宋体" w:eastAsia="宋体" w:hAnsi="宋体"/>
          <w:sz w:val="28"/>
          <w:szCs w:val="28"/>
        </w:rPr>
      </w:pPr>
    </w:p>
    <w:p w:rsidR="008776DB" w:rsidRPr="001D7600" w:rsidRDefault="008776DB" w:rsidP="008776DB">
      <w:pPr>
        <w:pStyle w:val="ParaAttribute4"/>
        <w:snapToGrid w:val="0"/>
        <w:spacing w:line="360" w:lineRule="auto"/>
        <w:rPr>
          <w:rStyle w:val="CharAttribute6"/>
          <w:rFonts w:ascii="宋体" w:eastAsia="宋体" w:hAnsi="宋体"/>
          <w:sz w:val="28"/>
          <w:szCs w:val="28"/>
        </w:rPr>
      </w:pPr>
    </w:p>
    <w:p w:rsidR="008776DB" w:rsidRDefault="008776DB" w:rsidP="008776DB">
      <w:pPr>
        <w:pStyle w:val="ParaAttribute4"/>
        <w:snapToGrid w:val="0"/>
        <w:spacing w:line="360" w:lineRule="auto"/>
        <w:jc w:val="right"/>
        <w:rPr>
          <w:rStyle w:val="CharAttribute6"/>
          <w:rFonts w:eastAsia="仿宋_GB2312" w:hAnsi="宋体"/>
          <w:sz w:val="24"/>
          <w:szCs w:val="24"/>
        </w:rPr>
      </w:pPr>
      <w:r>
        <w:rPr>
          <w:rStyle w:val="CharAttribute6"/>
          <w:rFonts w:eastAsia="仿宋_GB2312" w:hAnsi="宋体" w:hint="eastAsia"/>
          <w:sz w:val="24"/>
          <w:szCs w:val="24"/>
        </w:rPr>
        <w:t>执法人员签名：</w:t>
      </w:r>
      <w:r>
        <w:rPr>
          <w:rStyle w:val="CharAttribute6"/>
          <w:rFonts w:eastAsia="仿宋_GB2312" w:hAnsi="宋体"/>
          <w:sz w:val="24"/>
          <w:szCs w:val="24"/>
        </w:rPr>
        <w:t xml:space="preserve">                 </w:t>
      </w:r>
    </w:p>
    <w:p w:rsidR="008776DB" w:rsidRDefault="008776DB" w:rsidP="008776DB">
      <w:pPr>
        <w:pStyle w:val="ParaAttribute4"/>
        <w:snapToGrid w:val="0"/>
        <w:spacing w:line="360" w:lineRule="auto"/>
        <w:jc w:val="right"/>
        <w:rPr>
          <w:rStyle w:val="CharAttribute6"/>
          <w:rFonts w:eastAsia="仿宋_GB2312" w:hAnsi="宋体"/>
          <w:sz w:val="24"/>
          <w:szCs w:val="24"/>
        </w:rPr>
      </w:pPr>
      <w:r>
        <w:rPr>
          <w:rStyle w:val="CharAttribute6"/>
          <w:rFonts w:eastAsia="仿宋_GB2312" w:hAnsi="宋体" w:hint="eastAsia"/>
          <w:sz w:val="24"/>
          <w:szCs w:val="24"/>
        </w:rPr>
        <w:t>执法证号：</w:t>
      </w:r>
      <w:r>
        <w:rPr>
          <w:rStyle w:val="CharAttribute6"/>
          <w:rFonts w:eastAsia="仿宋_GB2312" w:hAnsi="宋体"/>
          <w:sz w:val="24"/>
          <w:szCs w:val="24"/>
        </w:rPr>
        <w:t xml:space="preserve">                 </w:t>
      </w:r>
    </w:p>
    <w:p w:rsidR="008776DB" w:rsidRDefault="008776DB" w:rsidP="008776DB">
      <w:pPr>
        <w:pStyle w:val="ParaAttribute4"/>
        <w:snapToGrid w:val="0"/>
        <w:spacing w:line="360" w:lineRule="auto"/>
        <w:jc w:val="right"/>
        <w:rPr>
          <w:rStyle w:val="CharAttribute6"/>
          <w:rFonts w:eastAsia="仿宋_GB2312" w:hAnsi="宋体"/>
          <w:sz w:val="24"/>
          <w:szCs w:val="24"/>
        </w:rPr>
      </w:pPr>
    </w:p>
    <w:p w:rsidR="008776DB" w:rsidRDefault="008776DB" w:rsidP="008776DB">
      <w:pPr>
        <w:pStyle w:val="ParaAttribute4"/>
        <w:snapToGrid w:val="0"/>
        <w:spacing w:line="360" w:lineRule="auto"/>
        <w:jc w:val="right"/>
        <w:rPr>
          <w:rStyle w:val="CharAttribute6"/>
          <w:rFonts w:eastAsia="仿宋_GB2312" w:hAnsi="宋体"/>
          <w:sz w:val="24"/>
          <w:szCs w:val="24"/>
        </w:rPr>
      </w:pPr>
      <w:r>
        <w:rPr>
          <w:rStyle w:val="CharAttribute6"/>
          <w:rFonts w:eastAsia="仿宋_GB2312" w:hAnsi="宋体" w:hint="eastAsia"/>
          <w:sz w:val="24"/>
          <w:szCs w:val="24"/>
        </w:rPr>
        <w:t>上海市</w:t>
      </w:r>
      <w:r w:rsidRPr="00350BE7">
        <w:rPr>
          <w:rStyle w:val="CharAttribute6"/>
          <w:rFonts w:eastAsia="仿宋_GB2312" w:hAnsi="宋体"/>
          <w:sz w:val="24"/>
          <w:szCs w:val="24"/>
          <w:u w:val="single"/>
        </w:rPr>
        <w:t xml:space="preserve">         </w:t>
      </w:r>
      <w:r>
        <w:rPr>
          <w:rStyle w:val="CharAttribute6"/>
          <w:rFonts w:eastAsia="仿宋_GB2312" w:hAnsi="宋体" w:hint="eastAsia"/>
          <w:sz w:val="24"/>
          <w:szCs w:val="24"/>
        </w:rPr>
        <w:t>区市场监督管理局</w:t>
      </w:r>
    </w:p>
    <w:p w:rsidR="008776DB" w:rsidRDefault="008776DB" w:rsidP="008776DB">
      <w:pPr>
        <w:pStyle w:val="ParaAttribute4"/>
        <w:snapToGrid w:val="0"/>
        <w:spacing w:line="360" w:lineRule="auto"/>
        <w:ind w:right="960"/>
        <w:jc w:val="center"/>
        <w:rPr>
          <w:rStyle w:val="CharAttribute6"/>
          <w:rFonts w:eastAsia="仿宋_GB2312" w:hAnsi="宋体"/>
          <w:sz w:val="24"/>
          <w:szCs w:val="24"/>
        </w:rPr>
      </w:pPr>
      <w:r>
        <w:rPr>
          <w:rStyle w:val="CharAttribute6"/>
          <w:rFonts w:eastAsia="仿宋_GB2312" w:hAnsi="宋体"/>
          <w:sz w:val="24"/>
          <w:szCs w:val="24"/>
        </w:rPr>
        <w:t xml:space="preserve">                                          </w:t>
      </w:r>
      <w:r>
        <w:rPr>
          <w:rStyle w:val="CharAttribute6"/>
          <w:rFonts w:eastAsia="仿宋_GB2312" w:hAnsi="宋体" w:hint="eastAsia"/>
          <w:sz w:val="24"/>
          <w:szCs w:val="24"/>
        </w:rPr>
        <w:t>（盖</w:t>
      </w:r>
      <w:r>
        <w:rPr>
          <w:rStyle w:val="CharAttribute6"/>
          <w:rFonts w:eastAsia="仿宋_GB2312" w:hAnsi="宋体"/>
          <w:sz w:val="24"/>
          <w:szCs w:val="24"/>
        </w:rPr>
        <w:t xml:space="preserve">   </w:t>
      </w:r>
      <w:r>
        <w:rPr>
          <w:rStyle w:val="CharAttribute6"/>
          <w:rFonts w:eastAsia="仿宋_GB2312" w:hAnsi="宋体" w:hint="eastAsia"/>
          <w:sz w:val="24"/>
          <w:szCs w:val="24"/>
        </w:rPr>
        <w:t>章）</w:t>
      </w:r>
    </w:p>
    <w:p w:rsidR="008776DB" w:rsidRDefault="008776DB" w:rsidP="008776DB">
      <w:pPr>
        <w:pStyle w:val="ParaAttribute4"/>
        <w:snapToGrid w:val="0"/>
        <w:spacing w:line="360" w:lineRule="auto"/>
        <w:jc w:val="right"/>
        <w:rPr>
          <w:rStyle w:val="CharAttribute6"/>
          <w:rFonts w:eastAsia="仿宋_GB2312" w:hAnsi="宋体"/>
          <w:sz w:val="24"/>
          <w:szCs w:val="24"/>
        </w:rPr>
      </w:pPr>
      <w:r>
        <w:rPr>
          <w:rStyle w:val="CharAttribute6"/>
          <w:rFonts w:eastAsia="仿宋_GB2312" w:hAnsi="宋体" w:hint="eastAsia"/>
          <w:sz w:val="24"/>
          <w:szCs w:val="24"/>
        </w:rPr>
        <w:t>年</w:t>
      </w:r>
      <w:r>
        <w:rPr>
          <w:rStyle w:val="CharAttribute6"/>
          <w:rFonts w:eastAsia="仿宋_GB2312" w:hAnsi="宋体"/>
          <w:sz w:val="24"/>
          <w:szCs w:val="24"/>
        </w:rPr>
        <w:t xml:space="preserve">     </w:t>
      </w:r>
      <w:r>
        <w:rPr>
          <w:rStyle w:val="CharAttribute6"/>
          <w:rFonts w:eastAsia="仿宋_GB2312" w:hAnsi="宋体" w:hint="eastAsia"/>
          <w:sz w:val="24"/>
          <w:szCs w:val="24"/>
        </w:rPr>
        <w:t>月</w:t>
      </w:r>
      <w:r>
        <w:rPr>
          <w:rStyle w:val="CharAttribute6"/>
          <w:rFonts w:eastAsia="仿宋_GB2312" w:hAnsi="宋体"/>
          <w:sz w:val="24"/>
          <w:szCs w:val="24"/>
        </w:rPr>
        <w:t xml:space="preserve">     </w:t>
      </w:r>
      <w:r>
        <w:rPr>
          <w:rStyle w:val="CharAttribute6"/>
          <w:rFonts w:eastAsia="仿宋_GB2312" w:hAnsi="宋体" w:hint="eastAsia"/>
          <w:sz w:val="24"/>
          <w:szCs w:val="24"/>
        </w:rPr>
        <w:t>日</w:t>
      </w:r>
    </w:p>
    <w:p w:rsidR="008776DB" w:rsidRDefault="008776DB" w:rsidP="008776DB">
      <w:pPr>
        <w:pStyle w:val="ParaAttribute4"/>
        <w:snapToGrid w:val="0"/>
        <w:spacing w:line="360" w:lineRule="auto"/>
        <w:ind w:firstLine="0"/>
        <w:rPr>
          <w:rFonts w:ascii="仿宋_GB2312" w:eastAsia="仿宋_GB2312"/>
        </w:rPr>
      </w:pPr>
    </w:p>
    <w:p w:rsidR="008776DB" w:rsidRDefault="008776DB" w:rsidP="008776DB">
      <w:pPr>
        <w:pStyle w:val="ParaAttribute4"/>
        <w:snapToGrid w:val="0"/>
        <w:spacing w:line="360" w:lineRule="auto"/>
        <w:ind w:firstLine="0"/>
        <w:rPr>
          <w:rFonts w:ascii="仿宋_GB2312" w:eastAsia="仿宋_GB2312"/>
        </w:rPr>
      </w:pPr>
    </w:p>
    <w:p w:rsidR="008776DB" w:rsidRDefault="008776DB" w:rsidP="008776DB">
      <w:pPr>
        <w:pStyle w:val="ParaAttribute4"/>
        <w:snapToGrid w:val="0"/>
        <w:spacing w:line="360" w:lineRule="auto"/>
        <w:ind w:firstLine="0"/>
        <w:rPr>
          <w:rFonts w:ascii="仿宋_GB2312" w:eastAsia="仿宋_GB2312"/>
          <w:sz w:val="24"/>
          <w:szCs w:val="24"/>
        </w:rPr>
      </w:pPr>
      <w:r>
        <w:rPr>
          <w:rFonts w:ascii="仿宋_GB2312" w:eastAsia="仿宋_GB2312" w:cs="仿宋_GB2312" w:hint="eastAsia"/>
          <w:sz w:val="24"/>
          <w:szCs w:val="24"/>
        </w:rPr>
        <w:t>送达方式：</w:t>
      </w:r>
      <w:r>
        <w:rPr>
          <w:rFonts w:ascii="仿宋_GB2312" w:eastAsia="仿宋_GB2312" w:cs="仿宋_GB2312" w:hint="eastAsia"/>
          <w:b/>
          <w:bCs/>
          <w:sz w:val="24"/>
          <w:szCs w:val="24"/>
        </w:rPr>
        <w:t>□</w:t>
      </w:r>
      <w:r>
        <w:rPr>
          <w:rFonts w:ascii="仿宋_GB2312" w:eastAsia="仿宋_GB2312" w:cs="仿宋_GB2312" w:hint="eastAsia"/>
          <w:sz w:val="24"/>
          <w:szCs w:val="24"/>
        </w:rPr>
        <w:t>直接送达</w:t>
      </w:r>
      <w:r>
        <w:rPr>
          <w:rFonts w:ascii="仿宋_GB2312" w:eastAsia="仿宋_GB2312" w:cs="仿宋_GB2312"/>
          <w:sz w:val="24"/>
          <w:szCs w:val="24"/>
        </w:rPr>
        <w:t xml:space="preserve">  </w:t>
      </w:r>
      <w:r>
        <w:rPr>
          <w:rFonts w:ascii="仿宋_GB2312" w:eastAsia="仿宋_GB2312" w:cs="仿宋_GB2312" w:hint="eastAsia"/>
          <w:b/>
          <w:bCs/>
          <w:sz w:val="24"/>
          <w:szCs w:val="24"/>
        </w:rPr>
        <w:t>□</w:t>
      </w:r>
      <w:r>
        <w:rPr>
          <w:rFonts w:ascii="仿宋_GB2312" w:eastAsia="仿宋_GB2312" w:cs="仿宋_GB2312" w:hint="eastAsia"/>
          <w:sz w:val="24"/>
          <w:szCs w:val="24"/>
        </w:rPr>
        <w:t>留置送达</w:t>
      </w:r>
    </w:p>
    <w:p w:rsidR="008776DB" w:rsidRDefault="008776DB" w:rsidP="008776DB">
      <w:pPr>
        <w:pStyle w:val="ParaAttribute4"/>
        <w:snapToGrid w:val="0"/>
        <w:spacing w:line="360" w:lineRule="auto"/>
        <w:ind w:firstLine="0"/>
        <w:rPr>
          <w:rStyle w:val="CharAttribute6"/>
          <w:rFonts w:ascii="宋体" w:eastAsia="宋体" w:hAnsi="宋体"/>
          <w:sz w:val="24"/>
          <w:szCs w:val="24"/>
          <w:u w:val="single"/>
        </w:rPr>
      </w:pPr>
      <w:r>
        <w:rPr>
          <w:rFonts w:ascii="仿宋_GB2312" w:eastAsia="仿宋_GB2312" w:cs="仿宋_GB2312" w:hint="eastAsia"/>
          <w:sz w:val="24"/>
          <w:szCs w:val="24"/>
        </w:rPr>
        <w:t>当事人签收：</w:t>
      </w:r>
      <w:r>
        <w:rPr>
          <w:rFonts w:ascii="仿宋_GB2312" w:eastAsia="仿宋_GB2312" w:cs="仿宋_GB2312"/>
          <w:sz w:val="24"/>
          <w:szCs w:val="24"/>
        </w:rPr>
        <w:t xml:space="preserve">              </w:t>
      </w: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分</w:t>
      </w:r>
      <w:r>
        <w:rPr>
          <w:rFonts w:ascii="仿宋_GB2312" w:eastAsia="仿宋_GB2312" w:cs="仿宋_GB2312"/>
          <w:sz w:val="24"/>
          <w:szCs w:val="24"/>
        </w:rPr>
        <w:t xml:space="preserve"> </w:t>
      </w:r>
    </w:p>
    <w:p w:rsidR="008776DB" w:rsidRDefault="008776DB" w:rsidP="008776DB">
      <w:pPr>
        <w:pStyle w:val="ParaAttribute4"/>
        <w:snapToGrid w:val="0"/>
        <w:spacing w:line="360" w:lineRule="auto"/>
        <w:ind w:firstLine="0"/>
        <w:rPr>
          <w:rFonts w:ascii="仿宋_GB2312" w:eastAsia="仿宋_GB2312"/>
          <w:color w:val="000000"/>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-3810</wp:posOffset>
                </wp:positionH>
                <wp:positionV relativeFrom="paragraph">
                  <wp:posOffset>280035</wp:posOffset>
                </wp:positionV>
                <wp:extent cx="5661025" cy="0"/>
                <wp:effectExtent l="15875" t="20320" r="19050" b="17780"/>
                <wp:wrapTight wrapText="bothSides">
                  <wp:wrapPolygon edited="0">
                    <wp:start x="0" y="-2147483648"/>
                    <wp:lineTo x="0" y="-2147483648"/>
                    <wp:lineTo x="596" y="-2147483648"/>
                    <wp:lineTo x="596" y="-2147483648"/>
                    <wp:lineTo x="0" y="-2147483648"/>
                  </wp:wrapPolygon>
                </wp:wrapTight>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0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2.05pt" to="445.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" strokeweight="2.25pt">
                <w10:wrap type="tight"/>
              </v:line>
            </w:pict>
          </mc:Fallback>
        </mc:AlternateContent>
      </w:r>
      <w:r>
        <w:rPr>
          <w:rFonts w:ascii="仿宋_GB2312" w:eastAsia="仿宋_GB2312" w:cs="仿宋_GB2312" w:hint="eastAsia"/>
          <w:color w:val="000000"/>
          <w:sz w:val="24"/>
          <w:szCs w:val="24"/>
        </w:rPr>
        <w:t>见证人签名：</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年</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月</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日</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时</w:t>
      </w: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分</w:t>
      </w:r>
    </w:p>
    <w:p w:rsidR="008776DB" w:rsidRPr="005254A5" w:rsidRDefault="008776DB" w:rsidP="008776DB">
      <w:pPr>
        <w:pStyle w:val="ParaAttribute4"/>
        <w:snapToGrid w:val="0"/>
        <w:spacing w:line="360" w:lineRule="auto"/>
        <w:ind w:firstLine="0"/>
        <w:jc w:val="center"/>
        <w:rPr>
          <w:rFonts w:ascii="仿宋_GB2312" w:eastAsia="仿宋_GB2312" w:hAnsi="宋体"/>
          <w:sz w:val="21"/>
          <w:szCs w:val="21"/>
        </w:rPr>
      </w:pPr>
      <w:r w:rsidRPr="005254A5">
        <w:rPr>
          <w:rFonts w:ascii="仿宋_GB2312" w:eastAsia="仿宋_GB2312" w:cs="仿宋_GB2312" w:hint="eastAsia"/>
          <w:sz w:val="21"/>
          <w:szCs w:val="21"/>
        </w:rPr>
        <w:t>（备注：本文书一般一式二份，一份交当事人，一份留存卷宗）。</w:t>
      </w:r>
    </w:p>
    <w:p w:rsidR="008776DB" w:rsidRDefault="008776DB" w:rsidP="008776DB">
      <w:pPr>
        <w:spacing w:line="360" w:lineRule="exact"/>
        <w:ind w:rightChars="37" w:right="78"/>
        <w:rPr>
          <w:rFonts w:ascii="仿宋_GB2312" w:eastAsia="仿宋_GB2312" w:hint="eastAsia"/>
          <w:color w:val="000000"/>
          <w:sz w:val="28"/>
          <w:szCs w:val="28"/>
        </w:rPr>
      </w:pPr>
      <w:r>
        <w:rPr>
          <w:rFonts w:ascii="仿宋_GB2312" w:eastAsia="仿宋_GB2312" w:hint="eastAsia"/>
          <w:color w:val="000000"/>
          <w:sz w:val="28"/>
          <w:szCs w:val="28"/>
        </w:rPr>
        <w:t xml:space="preserve"> </w:t>
      </w:r>
    </w:p>
    <w:p w:rsidR="00A53413" w:rsidRPr="008776DB" w:rsidRDefault="00A53413">
      <w:bookmarkStart w:id="0" w:name="_GoBack"/>
      <w:bookmarkEnd w:id="0"/>
    </w:p>
    <w:sectPr w:rsidR="00A53413" w:rsidRPr="008776DB" w:rsidSect="005B016F">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DB"/>
    <w:rsid w:val="008776DB"/>
    <w:rsid w:val="009345D6"/>
    <w:rsid w:val="00A53413"/>
    <w:rsid w:val="00B161E8"/>
    <w:rsid w:val="00D3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nhideWhenUsed="1"/>
    <w:lsdException w:name="caption" w:locked="1" w:semiHidden="1" w:unhideWhenUsed="1" w:qFormat="1"/>
    <w:lsdException w:name="Title" w:locked="1" w:qFormat="1"/>
    <w:lsdException w:name="Default Paragraph Font" w:semiHidden="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76DB"/>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rsid w:val="00B161E8"/>
    <w:pPr>
      <w:tabs>
        <w:tab w:val="center" w:pos="4153"/>
        <w:tab w:val="right" w:pos="8306"/>
      </w:tabs>
      <w:snapToGrid w:val="0"/>
      <w:jc w:val="left"/>
    </w:pPr>
    <w:rPr>
      <w:rFonts w:ascii="Calibri" w:hAnsi="Calibri"/>
      <w:sz w:val="18"/>
      <w:szCs w:val="18"/>
    </w:rPr>
  </w:style>
  <w:style w:type="character" w:customStyle="1" w:styleId="Char0">
    <w:name w:val="页脚 Char"/>
    <w:basedOn w:val="a0"/>
    <w:link w:val="a5"/>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rPr>
      <w:rFonts w:ascii="Calibri" w:hAnsi="Calibri"/>
      <w:sz w:val="20"/>
      <w:szCs w:val="20"/>
    </w:r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semiHidden/>
    <w:rsid w:val="00B161E8"/>
    <w:rPr>
      <w:rFonts w:ascii="Calibri" w:hAnsi="Calibri"/>
      <w:sz w:val="18"/>
      <w:szCs w:val="18"/>
    </w:rPr>
  </w:style>
  <w:style w:type="character" w:customStyle="1" w:styleId="Char2">
    <w:name w:val="批注框文本 Char"/>
    <w:basedOn w:val="a0"/>
    <w:link w:val="a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4">
    <w:name w:val="ParaAttribute4"/>
    <w:uiPriority w:val="99"/>
    <w:rsid w:val="008776DB"/>
    <w:pPr>
      <w:widowControl w:val="0"/>
      <w:wordWrap w:val="0"/>
      <w:ind w:firstLine="645"/>
      <w:jc w:val="both"/>
    </w:pPr>
    <w:rPr>
      <w:rFonts w:ascii="Times New Roman" w:eastAsia="Batang" w:hAnsi="Times New Roman"/>
      <w:kern w:val="0"/>
    </w:rPr>
  </w:style>
  <w:style w:type="character" w:customStyle="1" w:styleId="CharAttribute6">
    <w:name w:val="CharAttribute6"/>
    <w:uiPriority w:val="99"/>
    <w:rsid w:val="008776DB"/>
    <w:rPr>
      <w:rFonts w:ascii="仿宋_GB2312" w:eastAsia="Times New Roman" w:hAnsi="Calibri" w:cs="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nhideWhenUsed="1"/>
    <w:lsdException w:name="caption" w:locked="1" w:semiHidden="1" w:unhideWhenUsed="1" w:qFormat="1"/>
    <w:lsdException w:name="Title" w:locked="1" w:qFormat="1"/>
    <w:lsdException w:name="Default Paragraph Font" w:semiHidden="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76DB"/>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rsid w:val="00B161E8"/>
    <w:pPr>
      <w:tabs>
        <w:tab w:val="center" w:pos="4153"/>
        <w:tab w:val="right" w:pos="8306"/>
      </w:tabs>
      <w:snapToGrid w:val="0"/>
      <w:jc w:val="left"/>
    </w:pPr>
    <w:rPr>
      <w:rFonts w:ascii="Calibri" w:hAnsi="Calibri"/>
      <w:sz w:val="18"/>
      <w:szCs w:val="18"/>
    </w:rPr>
  </w:style>
  <w:style w:type="character" w:customStyle="1" w:styleId="Char0">
    <w:name w:val="页脚 Char"/>
    <w:basedOn w:val="a0"/>
    <w:link w:val="a5"/>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rPr>
      <w:rFonts w:ascii="Calibri" w:hAnsi="Calibri"/>
      <w:sz w:val="20"/>
      <w:szCs w:val="20"/>
    </w:r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semiHidden/>
    <w:rsid w:val="00B161E8"/>
    <w:rPr>
      <w:rFonts w:ascii="Calibri" w:hAnsi="Calibri"/>
      <w:sz w:val="18"/>
      <w:szCs w:val="18"/>
    </w:rPr>
  </w:style>
  <w:style w:type="character" w:customStyle="1" w:styleId="Char2">
    <w:name w:val="批注框文本 Char"/>
    <w:basedOn w:val="a0"/>
    <w:link w:val="a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4">
    <w:name w:val="ParaAttribute4"/>
    <w:uiPriority w:val="99"/>
    <w:rsid w:val="008776DB"/>
    <w:pPr>
      <w:widowControl w:val="0"/>
      <w:wordWrap w:val="0"/>
      <w:ind w:firstLine="645"/>
      <w:jc w:val="both"/>
    </w:pPr>
    <w:rPr>
      <w:rFonts w:ascii="Times New Roman" w:eastAsia="Batang" w:hAnsi="Times New Roman"/>
      <w:kern w:val="0"/>
    </w:rPr>
  </w:style>
  <w:style w:type="character" w:customStyle="1" w:styleId="CharAttribute6">
    <w:name w:val="CharAttribute6"/>
    <w:uiPriority w:val="99"/>
    <w:rsid w:val="008776DB"/>
    <w:rPr>
      <w:rFonts w:ascii="仿宋_GB2312" w:eastAsia="Times New Roman" w:hAnsi="Calibri" w:cs="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2</cp:revision>
  <dcterms:created xsi:type="dcterms:W3CDTF">2017-11-23T03:33:00Z</dcterms:created>
  <dcterms:modified xsi:type="dcterms:W3CDTF">2017-11-23T03:34:00Z</dcterms:modified>
</cp:coreProperties>
</file>