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6E" w:rsidRDefault="0058046E" w:rsidP="0058046E">
      <w:pPr>
        <w:rPr>
          <w:rFonts w:ascii="宋体" w:eastAsia="仿宋_GB2312" w:hAnsi="宋体"/>
          <w:sz w:val="32"/>
        </w:rPr>
      </w:pPr>
      <w:r>
        <w:rPr>
          <w:rFonts w:ascii="宋体" w:eastAsia="黑体" w:hAnsi="宋体" w:hint="eastAsia"/>
          <w:sz w:val="32"/>
        </w:rPr>
        <w:t>附件</w:t>
      </w:r>
      <w:r w:rsidR="00F6694A">
        <w:rPr>
          <w:rFonts w:ascii="宋体" w:eastAsia="黑体" w:hAnsi="宋体" w:hint="eastAsia"/>
          <w:sz w:val="32"/>
        </w:rPr>
        <w:t>2</w:t>
      </w:r>
      <w:r>
        <w:rPr>
          <w:rFonts w:ascii="宋体" w:eastAsia="黑体" w:hAnsi="宋体" w:hint="eastAsia"/>
          <w:sz w:val="32"/>
        </w:rPr>
        <w:t>：</w:t>
      </w:r>
    </w:p>
    <w:p w:rsidR="0058046E" w:rsidRDefault="0058046E" w:rsidP="00F6694A">
      <w:pPr>
        <w:autoSpaceDE w:val="0"/>
        <w:autoSpaceDN w:val="0"/>
        <w:spacing w:beforeLines="50" w:afterLines="50"/>
        <w:ind w:right="40"/>
        <w:jc w:val="center"/>
        <w:outlineLvl w:val="0"/>
        <w:rPr>
          <w:rFonts w:ascii="宋体" w:eastAsia="方正小标宋简体" w:hAnsi="宋体"/>
          <w:b/>
          <w:sz w:val="36"/>
          <w:szCs w:val="36"/>
        </w:rPr>
      </w:pPr>
      <w:r>
        <w:rPr>
          <w:rFonts w:ascii="宋体" w:eastAsia="方正小标宋简体" w:hAnsi="宋体" w:hint="eastAsia"/>
          <w:b/>
          <w:sz w:val="36"/>
          <w:szCs w:val="36"/>
        </w:rPr>
        <w:t>2017-2019</w:t>
      </w:r>
      <w:r>
        <w:rPr>
          <w:rFonts w:ascii="宋体" w:eastAsia="方正小标宋简体" w:hAnsi="宋体" w:hint="eastAsia"/>
          <w:b/>
          <w:sz w:val="36"/>
          <w:szCs w:val="36"/>
        </w:rPr>
        <w:t>年上海</w:t>
      </w:r>
      <w:r w:rsidR="004E03A3">
        <w:rPr>
          <w:rFonts w:ascii="宋体" w:eastAsiaTheme="minorEastAsia" w:hAnsi="宋体" w:hint="eastAsia"/>
          <w:b/>
          <w:sz w:val="36"/>
          <w:szCs w:val="36"/>
        </w:rPr>
        <w:t>电网</w:t>
      </w:r>
      <w:r>
        <w:rPr>
          <w:rFonts w:ascii="宋体" w:eastAsia="方正小标宋简体" w:hAnsi="宋体" w:hint="eastAsia"/>
          <w:b/>
          <w:sz w:val="36"/>
          <w:szCs w:val="36"/>
        </w:rPr>
        <w:t>输配电价表</w:t>
      </w:r>
    </w:p>
    <w:tbl>
      <w:tblPr>
        <w:tblW w:w="13577" w:type="dxa"/>
        <w:jc w:val="center"/>
        <w:tblLayout w:type="fixed"/>
        <w:tblLook w:val="04A0"/>
      </w:tblPr>
      <w:tblGrid>
        <w:gridCol w:w="2515"/>
        <w:gridCol w:w="1472"/>
        <w:gridCol w:w="1472"/>
        <w:gridCol w:w="1472"/>
        <w:gridCol w:w="1472"/>
        <w:gridCol w:w="1473"/>
        <w:gridCol w:w="1764"/>
        <w:gridCol w:w="1937"/>
      </w:tblGrid>
      <w:tr w:rsidR="0058046E" w:rsidTr="00AB4FEA">
        <w:trPr>
          <w:trHeight w:val="571"/>
          <w:jc w:val="center"/>
        </w:trPr>
        <w:tc>
          <w:tcPr>
            <w:tcW w:w="2515" w:type="dxa"/>
            <w:vMerge w:val="restart"/>
            <w:tcBorders>
              <w:top w:val="single" w:sz="12" w:space="0" w:color="000000"/>
              <w:left w:val="single" w:sz="12" w:space="0" w:color="000000"/>
              <w:bottom w:val="single" w:sz="6" w:space="0" w:color="000000"/>
              <w:right w:val="single" w:sz="6" w:space="0" w:color="000000"/>
            </w:tcBorders>
            <w:vAlign w:val="center"/>
            <w:hideMark/>
          </w:tcPr>
          <w:p w:rsidR="0058046E" w:rsidRDefault="0058046E">
            <w:pPr>
              <w:autoSpaceDE w:val="0"/>
              <w:autoSpaceDN w:val="0"/>
              <w:spacing w:line="280" w:lineRule="exact"/>
              <w:jc w:val="center"/>
              <w:rPr>
                <w:rFonts w:ascii="宋体" w:eastAsia="黑体" w:hAnsi="宋体"/>
                <w:kern w:val="2"/>
                <w:sz w:val="24"/>
                <w:szCs w:val="22"/>
              </w:rPr>
            </w:pPr>
            <w:r>
              <w:rPr>
                <w:rFonts w:ascii="宋体" w:eastAsia="黑体" w:hAnsi="宋体" w:hint="eastAsia"/>
                <w:kern w:val="2"/>
                <w:sz w:val="24"/>
                <w:szCs w:val="22"/>
              </w:rPr>
              <w:t>项</w:t>
            </w:r>
            <w:r>
              <w:rPr>
                <w:rFonts w:ascii="宋体" w:eastAsia="黑体" w:hAnsi="宋体" w:hint="eastAsia"/>
                <w:kern w:val="2"/>
                <w:sz w:val="24"/>
                <w:szCs w:val="22"/>
              </w:rPr>
              <w:t xml:space="preserve">   </w:t>
            </w:r>
            <w:r>
              <w:rPr>
                <w:rFonts w:ascii="宋体" w:eastAsia="黑体" w:hAnsi="宋体" w:hint="eastAsia"/>
                <w:kern w:val="2"/>
                <w:sz w:val="24"/>
                <w:szCs w:val="22"/>
              </w:rPr>
              <w:t>目</w:t>
            </w:r>
          </w:p>
        </w:tc>
        <w:tc>
          <w:tcPr>
            <w:tcW w:w="7361" w:type="dxa"/>
            <w:gridSpan w:val="5"/>
            <w:tcBorders>
              <w:top w:val="single" w:sz="12" w:space="0" w:color="000000"/>
              <w:left w:val="single" w:sz="6" w:space="0" w:color="000000"/>
              <w:bottom w:val="single" w:sz="6" w:space="0" w:color="000000"/>
              <w:right w:val="single" w:sz="6" w:space="0" w:color="000000"/>
            </w:tcBorders>
            <w:vAlign w:val="center"/>
            <w:hideMark/>
          </w:tcPr>
          <w:p w:rsidR="0058046E" w:rsidRDefault="0058046E">
            <w:pPr>
              <w:autoSpaceDE w:val="0"/>
              <w:autoSpaceDN w:val="0"/>
              <w:spacing w:line="280" w:lineRule="exact"/>
              <w:jc w:val="center"/>
              <w:rPr>
                <w:rFonts w:ascii="宋体" w:eastAsia="黑体" w:hAnsi="宋体"/>
                <w:kern w:val="2"/>
                <w:sz w:val="24"/>
                <w:szCs w:val="22"/>
              </w:rPr>
            </w:pPr>
            <w:r>
              <w:rPr>
                <w:rFonts w:ascii="宋体" w:eastAsia="黑体" w:hAnsi="宋体" w:hint="eastAsia"/>
                <w:kern w:val="2"/>
                <w:sz w:val="24"/>
                <w:szCs w:val="22"/>
              </w:rPr>
              <w:t>电度电价（元</w:t>
            </w:r>
            <w:r>
              <w:rPr>
                <w:rFonts w:ascii="宋体" w:eastAsia="黑体" w:hAnsi="宋体" w:hint="eastAsia"/>
                <w:kern w:val="2"/>
                <w:sz w:val="24"/>
                <w:szCs w:val="22"/>
              </w:rPr>
              <w:t>/</w:t>
            </w:r>
            <w:r>
              <w:rPr>
                <w:rFonts w:ascii="宋体" w:eastAsia="黑体" w:hAnsi="宋体" w:hint="eastAsia"/>
                <w:kern w:val="2"/>
                <w:sz w:val="24"/>
                <w:szCs w:val="22"/>
              </w:rPr>
              <w:t>千瓦时）</w:t>
            </w:r>
          </w:p>
        </w:tc>
        <w:tc>
          <w:tcPr>
            <w:tcW w:w="3701" w:type="dxa"/>
            <w:gridSpan w:val="2"/>
            <w:tcBorders>
              <w:top w:val="single" w:sz="12" w:space="0" w:color="000000"/>
              <w:left w:val="single" w:sz="6" w:space="0" w:color="000000"/>
              <w:bottom w:val="single" w:sz="6" w:space="0" w:color="000000"/>
              <w:right w:val="single" w:sz="12" w:space="0" w:color="000000"/>
            </w:tcBorders>
            <w:vAlign w:val="center"/>
            <w:hideMark/>
          </w:tcPr>
          <w:p w:rsidR="0058046E" w:rsidRDefault="0058046E">
            <w:pPr>
              <w:autoSpaceDE w:val="0"/>
              <w:autoSpaceDN w:val="0"/>
              <w:spacing w:line="280" w:lineRule="exact"/>
              <w:jc w:val="center"/>
              <w:rPr>
                <w:rFonts w:ascii="宋体" w:eastAsia="黑体" w:hAnsi="宋体"/>
                <w:kern w:val="2"/>
                <w:sz w:val="24"/>
                <w:szCs w:val="22"/>
              </w:rPr>
            </w:pPr>
            <w:r>
              <w:rPr>
                <w:rFonts w:ascii="宋体" w:eastAsia="黑体" w:hAnsi="宋体" w:hint="eastAsia"/>
                <w:kern w:val="2"/>
                <w:sz w:val="24"/>
                <w:szCs w:val="22"/>
              </w:rPr>
              <w:t>基本电价</w:t>
            </w:r>
          </w:p>
        </w:tc>
      </w:tr>
      <w:tr w:rsidR="0058046E" w:rsidTr="00AB4FEA">
        <w:trPr>
          <w:trHeight w:val="358"/>
          <w:jc w:val="center"/>
        </w:trPr>
        <w:tc>
          <w:tcPr>
            <w:tcW w:w="2515" w:type="dxa"/>
            <w:vMerge/>
            <w:tcBorders>
              <w:top w:val="single" w:sz="12" w:space="0" w:color="000000"/>
              <w:left w:val="single" w:sz="12" w:space="0" w:color="000000"/>
              <w:bottom w:val="single" w:sz="6" w:space="0" w:color="000000"/>
              <w:right w:val="single" w:sz="6" w:space="0" w:color="000000"/>
            </w:tcBorders>
            <w:vAlign w:val="center"/>
            <w:hideMark/>
          </w:tcPr>
          <w:p w:rsidR="0058046E" w:rsidRDefault="0058046E">
            <w:pPr>
              <w:rPr>
                <w:rFonts w:ascii="宋体" w:eastAsia="黑体" w:hAnsi="宋体"/>
                <w:kern w:val="2"/>
                <w:sz w:val="24"/>
                <w:szCs w:val="22"/>
              </w:rPr>
            </w:pPr>
          </w:p>
        </w:tc>
        <w:tc>
          <w:tcPr>
            <w:tcW w:w="1472" w:type="dxa"/>
            <w:vMerge w:val="restart"/>
            <w:tcBorders>
              <w:top w:val="single" w:sz="6" w:space="0" w:color="000000"/>
              <w:left w:val="single" w:sz="6" w:space="0" w:color="000000"/>
              <w:bottom w:val="single" w:sz="6" w:space="0" w:color="000000"/>
              <w:right w:val="single" w:sz="6" w:space="0" w:color="000000"/>
            </w:tcBorders>
            <w:vAlign w:val="center"/>
            <w:hideMark/>
          </w:tcPr>
          <w:p w:rsidR="0058046E" w:rsidRDefault="0058046E">
            <w:pPr>
              <w:autoSpaceDE w:val="0"/>
              <w:autoSpaceDN w:val="0"/>
              <w:spacing w:line="280" w:lineRule="exact"/>
              <w:jc w:val="center"/>
              <w:rPr>
                <w:rFonts w:ascii="宋体" w:eastAsia="黑体" w:hAnsi="宋体"/>
                <w:kern w:val="2"/>
                <w:sz w:val="24"/>
                <w:szCs w:val="22"/>
              </w:rPr>
            </w:pPr>
            <w:r>
              <w:rPr>
                <w:rFonts w:ascii="宋体" w:eastAsia="黑体" w:hAnsi="宋体" w:hint="eastAsia"/>
                <w:kern w:val="2"/>
                <w:sz w:val="24"/>
                <w:szCs w:val="22"/>
              </w:rPr>
              <w:t>不满</w:t>
            </w:r>
            <w:r>
              <w:rPr>
                <w:rFonts w:ascii="宋体" w:eastAsia="黑体" w:hAnsi="宋体" w:hint="eastAsia"/>
                <w:kern w:val="2"/>
                <w:sz w:val="24"/>
                <w:szCs w:val="22"/>
              </w:rPr>
              <w:t>1</w:t>
            </w:r>
            <w:r>
              <w:rPr>
                <w:rFonts w:ascii="宋体" w:eastAsia="黑体" w:hAnsi="宋体" w:hint="eastAsia"/>
                <w:kern w:val="2"/>
                <w:sz w:val="24"/>
                <w:szCs w:val="22"/>
              </w:rPr>
              <w:t>千伏</w:t>
            </w:r>
          </w:p>
        </w:tc>
        <w:tc>
          <w:tcPr>
            <w:tcW w:w="1472" w:type="dxa"/>
            <w:vMerge w:val="restart"/>
            <w:tcBorders>
              <w:top w:val="single" w:sz="6" w:space="0" w:color="000000"/>
              <w:left w:val="single" w:sz="6" w:space="0" w:color="000000"/>
              <w:bottom w:val="single" w:sz="6" w:space="0" w:color="000000"/>
              <w:right w:val="single" w:sz="6" w:space="0" w:color="000000"/>
            </w:tcBorders>
            <w:vAlign w:val="center"/>
            <w:hideMark/>
          </w:tcPr>
          <w:p w:rsidR="0058046E" w:rsidRDefault="0058046E">
            <w:pPr>
              <w:autoSpaceDE w:val="0"/>
              <w:autoSpaceDN w:val="0"/>
              <w:spacing w:line="280" w:lineRule="exact"/>
              <w:jc w:val="center"/>
              <w:rPr>
                <w:rFonts w:ascii="宋体" w:eastAsia="黑体" w:hAnsi="宋体"/>
                <w:kern w:val="2"/>
                <w:sz w:val="24"/>
                <w:szCs w:val="22"/>
              </w:rPr>
            </w:pPr>
            <w:r>
              <w:rPr>
                <w:rFonts w:ascii="宋体" w:eastAsia="黑体" w:hAnsi="宋体" w:hint="eastAsia"/>
                <w:kern w:val="2"/>
                <w:sz w:val="24"/>
                <w:szCs w:val="22"/>
              </w:rPr>
              <w:t>1-10</w:t>
            </w:r>
            <w:r>
              <w:rPr>
                <w:rFonts w:ascii="宋体" w:eastAsia="黑体" w:hAnsi="宋体" w:hint="eastAsia"/>
                <w:kern w:val="2"/>
                <w:sz w:val="24"/>
                <w:szCs w:val="22"/>
              </w:rPr>
              <w:t>千伏</w:t>
            </w:r>
          </w:p>
        </w:tc>
        <w:tc>
          <w:tcPr>
            <w:tcW w:w="1472" w:type="dxa"/>
            <w:vMerge w:val="restart"/>
            <w:tcBorders>
              <w:top w:val="single" w:sz="6" w:space="0" w:color="000000"/>
              <w:left w:val="single" w:sz="6" w:space="0" w:color="000000"/>
              <w:bottom w:val="single" w:sz="6" w:space="0" w:color="000000"/>
              <w:right w:val="single" w:sz="6" w:space="0" w:color="000000"/>
            </w:tcBorders>
            <w:vAlign w:val="center"/>
            <w:hideMark/>
          </w:tcPr>
          <w:p w:rsidR="0058046E" w:rsidRDefault="0058046E">
            <w:pPr>
              <w:autoSpaceDE w:val="0"/>
              <w:autoSpaceDN w:val="0"/>
              <w:spacing w:line="280" w:lineRule="exact"/>
              <w:jc w:val="center"/>
              <w:rPr>
                <w:rFonts w:ascii="宋体" w:eastAsia="黑体" w:hAnsi="宋体"/>
                <w:kern w:val="2"/>
                <w:sz w:val="24"/>
                <w:szCs w:val="22"/>
              </w:rPr>
            </w:pPr>
            <w:r>
              <w:rPr>
                <w:rFonts w:ascii="宋体" w:eastAsia="黑体" w:hAnsi="宋体" w:hint="eastAsia"/>
                <w:kern w:val="2"/>
                <w:sz w:val="24"/>
                <w:szCs w:val="22"/>
              </w:rPr>
              <w:t>35</w:t>
            </w:r>
            <w:r>
              <w:rPr>
                <w:rFonts w:ascii="宋体" w:eastAsia="黑体" w:hAnsi="宋体" w:hint="eastAsia"/>
                <w:kern w:val="2"/>
                <w:sz w:val="24"/>
                <w:szCs w:val="22"/>
              </w:rPr>
              <w:t>千伏</w:t>
            </w:r>
          </w:p>
        </w:tc>
        <w:tc>
          <w:tcPr>
            <w:tcW w:w="1472" w:type="dxa"/>
            <w:vMerge w:val="restart"/>
            <w:tcBorders>
              <w:top w:val="single" w:sz="6" w:space="0" w:color="000000"/>
              <w:left w:val="single" w:sz="6" w:space="0" w:color="000000"/>
              <w:bottom w:val="single" w:sz="6" w:space="0" w:color="000000"/>
              <w:right w:val="single" w:sz="6" w:space="0" w:color="000000"/>
            </w:tcBorders>
            <w:vAlign w:val="center"/>
            <w:hideMark/>
          </w:tcPr>
          <w:p w:rsidR="0058046E" w:rsidRDefault="0058046E">
            <w:pPr>
              <w:autoSpaceDE w:val="0"/>
              <w:autoSpaceDN w:val="0"/>
              <w:spacing w:line="280" w:lineRule="exact"/>
              <w:jc w:val="center"/>
              <w:rPr>
                <w:rFonts w:ascii="宋体" w:eastAsia="黑体" w:hAnsi="宋体"/>
                <w:kern w:val="2"/>
                <w:sz w:val="24"/>
                <w:szCs w:val="22"/>
              </w:rPr>
            </w:pPr>
            <w:r>
              <w:rPr>
                <w:rFonts w:ascii="宋体" w:eastAsia="黑体" w:hAnsi="宋体" w:hint="eastAsia"/>
                <w:kern w:val="2"/>
                <w:sz w:val="24"/>
                <w:szCs w:val="22"/>
              </w:rPr>
              <w:t>110</w:t>
            </w:r>
            <w:r>
              <w:rPr>
                <w:rFonts w:ascii="宋体" w:eastAsia="黑体" w:hAnsi="宋体" w:hint="eastAsia"/>
                <w:kern w:val="2"/>
                <w:sz w:val="24"/>
                <w:szCs w:val="22"/>
              </w:rPr>
              <w:t>千伏</w:t>
            </w:r>
          </w:p>
        </w:tc>
        <w:tc>
          <w:tcPr>
            <w:tcW w:w="1473" w:type="dxa"/>
            <w:vMerge w:val="restart"/>
            <w:tcBorders>
              <w:top w:val="single" w:sz="6" w:space="0" w:color="000000"/>
              <w:left w:val="single" w:sz="6" w:space="0" w:color="000000"/>
              <w:bottom w:val="single" w:sz="6" w:space="0" w:color="000000"/>
              <w:right w:val="single" w:sz="6" w:space="0" w:color="000000"/>
            </w:tcBorders>
            <w:vAlign w:val="center"/>
            <w:hideMark/>
          </w:tcPr>
          <w:p w:rsidR="0058046E" w:rsidRDefault="0058046E">
            <w:pPr>
              <w:autoSpaceDE w:val="0"/>
              <w:autoSpaceDN w:val="0"/>
              <w:spacing w:line="280" w:lineRule="exact"/>
              <w:jc w:val="center"/>
              <w:rPr>
                <w:rFonts w:ascii="宋体" w:eastAsia="黑体" w:hAnsi="宋体"/>
                <w:kern w:val="2"/>
                <w:sz w:val="24"/>
                <w:szCs w:val="22"/>
              </w:rPr>
            </w:pPr>
            <w:r>
              <w:rPr>
                <w:rFonts w:ascii="宋体" w:eastAsia="黑体" w:hAnsi="宋体" w:hint="eastAsia"/>
                <w:kern w:val="2"/>
                <w:sz w:val="24"/>
                <w:szCs w:val="22"/>
              </w:rPr>
              <w:t>220</w:t>
            </w:r>
            <w:r>
              <w:rPr>
                <w:rFonts w:ascii="宋体" w:eastAsia="黑体" w:hAnsi="宋体" w:hint="eastAsia"/>
                <w:kern w:val="2"/>
                <w:sz w:val="24"/>
                <w:szCs w:val="22"/>
              </w:rPr>
              <w:t>千伏</w:t>
            </w:r>
          </w:p>
        </w:tc>
        <w:tc>
          <w:tcPr>
            <w:tcW w:w="1764" w:type="dxa"/>
            <w:tcBorders>
              <w:top w:val="nil"/>
              <w:left w:val="nil"/>
              <w:bottom w:val="nil"/>
              <w:right w:val="single" w:sz="6" w:space="0" w:color="000000"/>
            </w:tcBorders>
            <w:vAlign w:val="center"/>
            <w:hideMark/>
          </w:tcPr>
          <w:p w:rsidR="0058046E" w:rsidRDefault="0058046E">
            <w:pPr>
              <w:autoSpaceDE w:val="0"/>
              <w:autoSpaceDN w:val="0"/>
              <w:spacing w:line="280" w:lineRule="exact"/>
              <w:jc w:val="center"/>
              <w:rPr>
                <w:rFonts w:ascii="宋体" w:eastAsia="黑体" w:hAnsi="宋体"/>
                <w:kern w:val="2"/>
                <w:sz w:val="24"/>
                <w:szCs w:val="22"/>
              </w:rPr>
            </w:pPr>
            <w:r>
              <w:rPr>
                <w:rFonts w:ascii="宋体" w:eastAsia="黑体" w:hAnsi="宋体" w:hint="eastAsia"/>
                <w:kern w:val="2"/>
                <w:sz w:val="24"/>
                <w:szCs w:val="22"/>
              </w:rPr>
              <w:t>最大需量</w:t>
            </w:r>
          </w:p>
        </w:tc>
        <w:tc>
          <w:tcPr>
            <w:tcW w:w="1937" w:type="dxa"/>
            <w:tcBorders>
              <w:top w:val="nil"/>
              <w:left w:val="nil"/>
              <w:bottom w:val="nil"/>
              <w:right w:val="single" w:sz="12" w:space="0" w:color="000000"/>
            </w:tcBorders>
            <w:vAlign w:val="center"/>
            <w:hideMark/>
          </w:tcPr>
          <w:p w:rsidR="0058046E" w:rsidRDefault="0058046E">
            <w:pPr>
              <w:autoSpaceDE w:val="0"/>
              <w:autoSpaceDN w:val="0"/>
              <w:spacing w:line="280" w:lineRule="exact"/>
              <w:jc w:val="center"/>
              <w:rPr>
                <w:rFonts w:ascii="宋体" w:eastAsia="黑体" w:hAnsi="宋体"/>
                <w:kern w:val="2"/>
                <w:sz w:val="24"/>
                <w:szCs w:val="22"/>
              </w:rPr>
            </w:pPr>
            <w:r>
              <w:rPr>
                <w:rFonts w:ascii="宋体" w:eastAsia="黑体" w:hAnsi="宋体" w:hint="eastAsia"/>
                <w:kern w:val="2"/>
                <w:sz w:val="24"/>
                <w:szCs w:val="22"/>
              </w:rPr>
              <w:t>变压器容量</w:t>
            </w:r>
          </w:p>
        </w:tc>
      </w:tr>
      <w:tr w:rsidR="0058046E" w:rsidTr="00AB4FEA">
        <w:trPr>
          <w:trHeight w:val="408"/>
          <w:jc w:val="center"/>
        </w:trPr>
        <w:tc>
          <w:tcPr>
            <w:tcW w:w="2515" w:type="dxa"/>
            <w:vMerge/>
            <w:tcBorders>
              <w:top w:val="single" w:sz="12" w:space="0" w:color="000000"/>
              <w:left w:val="single" w:sz="12" w:space="0" w:color="000000"/>
              <w:bottom w:val="single" w:sz="6" w:space="0" w:color="000000"/>
              <w:right w:val="single" w:sz="6" w:space="0" w:color="000000"/>
            </w:tcBorders>
            <w:vAlign w:val="center"/>
            <w:hideMark/>
          </w:tcPr>
          <w:p w:rsidR="0058046E" w:rsidRDefault="0058046E">
            <w:pPr>
              <w:rPr>
                <w:rFonts w:ascii="宋体" w:eastAsia="黑体" w:hAnsi="宋体"/>
                <w:kern w:val="2"/>
                <w:sz w:val="24"/>
                <w:szCs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rsidR="0058046E" w:rsidRDefault="0058046E">
            <w:pPr>
              <w:rPr>
                <w:rFonts w:ascii="宋体" w:eastAsia="黑体" w:hAnsi="宋体"/>
                <w:kern w:val="2"/>
                <w:sz w:val="24"/>
                <w:szCs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rsidR="0058046E" w:rsidRDefault="0058046E">
            <w:pPr>
              <w:rPr>
                <w:rFonts w:ascii="宋体" w:eastAsia="黑体" w:hAnsi="宋体"/>
                <w:kern w:val="2"/>
                <w:sz w:val="24"/>
                <w:szCs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rsidR="0058046E" w:rsidRDefault="0058046E">
            <w:pPr>
              <w:rPr>
                <w:rFonts w:ascii="宋体" w:eastAsia="黑体" w:hAnsi="宋体"/>
                <w:kern w:val="2"/>
                <w:sz w:val="24"/>
                <w:szCs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rsidR="0058046E" w:rsidRDefault="0058046E">
            <w:pPr>
              <w:rPr>
                <w:rFonts w:ascii="宋体" w:eastAsia="黑体" w:hAnsi="宋体"/>
                <w:kern w:val="2"/>
                <w:sz w:val="24"/>
                <w:szCs w:val="22"/>
              </w:rPr>
            </w:pPr>
          </w:p>
        </w:tc>
        <w:tc>
          <w:tcPr>
            <w:tcW w:w="1473" w:type="dxa"/>
            <w:vMerge/>
            <w:tcBorders>
              <w:top w:val="single" w:sz="6" w:space="0" w:color="000000"/>
              <w:left w:val="single" w:sz="6" w:space="0" w:color="000000"/>
              <w:bottom w:val="single" w:sz="6" w:space="0" w:color="000000"/>
              <w:right w:val="single" w:sz="6" w:space="0" w:color="000000"/>
            </w:tcBorders>
            <w:vAlign w:val="center"/>
            <w:hideMark/>
          </w:tcPr>
          <w:p w:rsidR="0058046E" w:rsidRDefault="0058046E">
            <w:pPr>
              <w:rPr>
                <w:rFonts w:ascii="宋体" w:eastAsia="黑体" w:hAnsi="宋体"/>
                <w:kern w:val="2"/>
                <w:sz w:val="24"/>
                <w:szCs w:val="22"/>
              </w:rPr>
            </w:pPr>
          </w:p>
        </w:tc>
        <w:tc>
          <w:tcPr>
            <w:tcW w:w="1764" w:type="dxa"/>
            <w:tcBorders>
              <w:top w:val="nil"/>
              <w:left w:val="nil"/>
              <w:bottom w:val="single" w:sz="6" w:space="0" w:color="000000"/>
              <w:right w:val="single" w:sz="6" w:space="0" w:color="000000"/>
            </w:tcBorders>
            <w:vAlign w:val="center"/>
            <w:hideMark/>
          </w:tcPr>
          <w:p w:rsidR="0058046E" w:rsidRDefault="0058046E">
            <w:pPr>
              <w:autoSpaceDE w:val="0"/>
              <w:autoSpaceDN w:val="0"/>
              <w:spacing w:line="280" w:lineRule="exact"/>
              <w:jc w:val="center"/>
              <w:rPr>
                <w:rFonts w:ascii="宋体" w:eastAsia="黑体" w:hAnsi="宋体"/>
                <w:kern w:val="2"/>
                <w:szCs w:val="22"/>
              </w:rPr>
            </w:pPr>
            <w:r>
              <w:rPr>
                <w:rFonts w:ascii="宋体" w:eastAsia="黑体" w:hAnsi="宋体" w:hint="eastAsia"/>
                <w:kern w:val="2"/>
                <w:szCs w:val="22"/>
              </w:rPr>
              <w:t>（元</w:t>
            </w:r>
            <w:r>
              <w:rPr>
                <w:rFonts w:ascii="宋体" w:eastAsia="黑体" w:hAnsi="宋体" w:hint="eastAsia"/>
                <w:kern w:val="2"/>
                <w:szCs w:val="22"/>
              </w:rPr>
              <w:t>/</w:t>
            </w:r>
            <w:r>
              <w:rPr>
                <w:rFonts w:ascii="宋体" w:eastAsia="黑体" w:hAnsi="宋体" w:hint="eastAsia"/>
                <w:kern w:val="2"/>
                <w:szCs w:val="22"/>
              </w:rPr>
              <w:t>千瓦·月）</w:t>
            </w:r>
          </w:p>
        </w:tc>
        <w:tc>
          <w:tcPr>
            <w:tcW w:w="1937" w:type="dxa"/>
            <w:tcBorders>
              <w:top w:val="nil"/>
              <w:left w:val="nil"/>
              <w:bottom w:val="single" w:sz="6" w:space="0" w:color="000000"/>
              <w:right w:val="single" w:sz="12" w:space="0" w:color="000000"/>
            </w:tcBorders>
            <w:vAlign w:val="center"/>
            <w:hideMark/>
          </w:tcPr>
          <w:p w:rsidR="0058046E" w:rsidRDefault="0058046E">
            <w:pPr>
              <w:autoSpaceDE w:val="0"/>
              <w:autoSpaceDN w:val="0"/>
              <w:spacing w:line="280" w:lineRule="exact"/>
              <w:jc w:val="center"/>
              <w:rPr>
                <w:rFonts w:ascii="宋体" w:eastAsia="黑体" w:hAnsi="宋体"/>
                <w:kern w:val="2"/>
                <w:szCs w:val="22"/>
              </w:rPr>
            </w:pPr>
            <w:r>
              <w:rPr>
                <w:rFonts w:ascii="宋体" w:eastAsia="黑体" w:hAnsi="宋体" w:hint="eastAsia"/>
                <w:kern w:val="2"/>
                <w:szCs w:val="22"/>
              </w:rPr>
              <w:t>（元</w:t>
            </w:r>
            <w:r>
              <w:rPr>
                <w:rFonts w:ascii="宋体" w:eastAsia="黑体" w:hAnsi="宋体" w:hint="eastAsia"/>
                <w:kern w:val="2"/>
                <w:szCs w:val="22"/>
              </w:rPr>
              <w:t>/</w:t>
            </w:r>
            <w:r>
              <w:rPr>
                <w:rFonts w:ascii="宋体" w:eastAsia="黑体" w:hAnsi="宋体" w:hint="eastAsia"/>
                <w:kern w:val="2"/>
                <w:szCs w:val="22"/>
              </w:rPr>
              <w:t>千伏安·月）</w:t>
            </w:r>
          </w:p>
        </w:tc>
      </w:tr>
      <w:tr w:rsidR="0058046E" w:rsidTr="00AB4FEA">
        <w:trPr>
          <w:trHeight w:val="890"/>
          <w:jc w:val="center"/>
        </w:trPr>
        <w:tc>
          <w:tcPr>
            <w:tcW w:w="2515" w:type="dxa"/>
            <w:tcBorders>
              <w:top w:val="nil"/>
              <w:left w:val="single" w:sz="12" w:space="0" w:color="000000"/>
              <w:bottom w:val="single" w:sz="6" w:space="0" w:color="000000"/>
              <w:right w:val="single" w:sz="6" w:space="0" w:color="000000"/>
            </w:tcBorders>
            <w:vAlign w:val="center"/>
            <w:hideMark/>
          </w:tcPr>
          <w:p w:rsidR="0058046E" w:rsidRDefault="0058046E">
            <w:pPr>
              <w:autoSpaceDE w:val="0"/>
              <w:autoSpaceDN w:val="0"/>
              <w:jc w:val="center"/>
              <w:rPr>
                <w:rFonts w:ascii="宋体" w:hAnsi="宋体"/>
                <w:kern w:val="2"/>
                <w:sz w:val="24"/>
                <w:szCs w:val="22"/>
              </w:rPr>
            </w:pPr>
            <w:r>
              <w:rPr>
                <w:rFonts w:ascii="宋体" w:hAnsi="宋体" w:hint="eastAsia"/>
                <w:kern w:val="2"/>
                <w:sz w:val="24"/>
                <w:szCs w:val="22"/>
              </w:rPr>
              <w:t>一、工商业及其他用电（两部制）</w:t>
            </w:r>
          </w:p>
        </w:tc>
        <w:tc>
          <w:tcPr>
            <w:tcW w:w="1472" w:type="dxa"/>
            <w:tcBorders>
              <w:top w:val="nil"/>
              <w:left w:val="nil"/>
              <w:bottom w:val="single" w:sz="6" w:space="0" w:color="000000"/>
              <w:right w:val="single" w:sz="6" w:space="0" w:color="000000"/>
            </w:tcBorders>
            <w:shd w:val="clear" w:color="auto" w:fill="FFFFFF"/>
            <w:vAlign w:val="center"/>
            <w:hideMark/>
          </w:tcPr>
          <w:p w:rsidR="0058046E" w:rsidRDefault="000810B9">
            <w:pPr>
              <w:jc w:val="center"/>
              <w:rPr>
                <w:rFonts w:ascii="宋体" w:hAnsi="宋体"/>
                <w:kern w:val="2"/>
                <w:sz w:val="24"/>
                <w:szCs w:val="22"/>
              </w:rPr>
            </w:pPr>
            <w:r>
              <w:rPr>
                <w:rFonts w:ascii="等线" w:eastAsia="等线" w:hAnsi="等线" w:hint="eastAsia"/>
                <w:color w:val="000000"/>
                <w:kern w:val="2"/>
              </w:rPr>
              <w:t>0.327</w:t>
            </w:r>
          </w:p>
        </w:tc>
        <w:tc>
          <w:tcPr>
            <w:tcW w:w="1472" w:type="dxa"/>
            <w:tcBorders>
              <w:top w:val="nil"/>
              <w:left w:val="nil"/>
              <w:bottom w:val="single" w:sz="6" w:space="0" w:color="000000"/>
              <w:right w:val="single" w:sz="6" w:space="0" w:color="000000"/>
            </w:tcBorders>
            <w:shd w:val="clear" w:color="auto" w:fill="FFFFFF"/>
            <w:vAlign w:val="center"/>
            <w:hideMark/>
          </w:tcPr>
          <w:p w:rsidR="0058046E" w:rsidRDefault="000810B9">
            <w:pPr>
              <w:jc w:val="center"/>
              <w:rPr>
                <w:rFonts w:ascii="宋体" w:hAnsi="宋体"/>
                <w:kern w:val="2"/>
                <w:sz w:val="24"/>
                <w:szCs w:val="22"/>
              </w:rPr>
            </w:pPr>
            <w:r>
              <w:rPr>
                <w:rFonts w:ascii="等线" w:eastAsia="等线" w:hAnsi="等线" w:hint="eastAsia"/>
                <w:color w:val="000000"/>
                <w:kern w:val="2"/>
              </w:rPr>
              <w:t>0.2757</w:t>
            </w:r>
          </w:p>
        </w:tc>
        <w:tc>
          <w:tcPr>
            <w:tcW w:w="1472" w:type="dxa"/>
            <w:tcBorders>
              <w:top w:val="nil"/>
              <w:left w:val="nil"/>
              <w:bottom w:val="single" w:sz="6" w:space="0" w:color="000000"/>
              <w:right w:val="single" w:sz="6" w:space="0" w:color="000000"/>
            </w:tcBorders>
            <w:shd w:val="clear" w:color="auto" w:fill="FFFFFF"/>
            <w:vAlign w:val="center"/>
            <w:hideMark/>
          </w:tcPr>
          <w:p w:rsidR="0058046E" w:rsidRDefault="000810B9">
            <w:pPr>
              <w:jc w:val="center"/>
              <w:rPr>
                <w:rFonts w:ascii="宋体" w:hAnsi="宋体"/>
                <w:kern w:val="2"/>
                <w:sz w:val="24"/>
                <w:szCs w:val="22"/>
              </w:rPr>
            </w:pPr>
            <w:r>
              <w:rPr>
                <w:rFonts w:ascii="等线" w:eastAsia="等线" w:hAnsi="等线" w:hint="eastAsia"/>
                <w:color w:val="000000"/>
                <w:kern w:val="2"/>
              </w:rPr>
              <w:t>0.2273</w:t>
            </w:r>
          </w:p>
        </w:tc>
        <w:tc>
          <w:tcPr>
            <w:tcW w:w="1472" w:type="dxa"/>
            <w:tcBorders>
              <w:top w:val="nil"/>
              <w:left w:val="nil"/>
              <w:bottom w:val="single" w:sz="6" w:space="0" w:color="000000"/>
              <w:right w:val="single" w:sz="6" w:space="0" w:color="000000"/>
            </w:tcBorders>
            <w:vAlign w:val="center"/>
            <w:hideMark/>
          </w:tcPr>
          <w:p w:rsidR="0058046E" w:rsidRDefault="000810B9">
            <w:pPr>
              <w:autoSpaceDE w:val="0"/>
              <w:autoSpaceDN w:val="0"/>
              <w:jc w:val="center"/>
              <w:rPr>
                <w:rFonts w:ascii="宋体" w:hAnsi="宋体"/>
                <w:kern w:val="2"/>
                <w:sz w:val="24"/>
                <w:szCs w:val="22"/>
              </w:rPr>
            </w:pPr>
            <w:r>
              <w:rPr>
                <w:rFonts w:ascii="等线" w:eastAsia="等线" w:hAnsi="等线" w:hint="eastAsia"/>
                <w:color w:val="000000"/>
                <w:kern w:val="2"/>
              </w:rPr>
              <w:t>0.1849</w:t>
            </w:r>
          </w:p>
        </w:tc>
        <w:tc>
          <w:tcPr>
            <w:tcW w:w="1473" w:type="dxa"/>
            <w:tcBorders>
              <w:top w:val="nil"/>
              <w:left w:val="nil"/>
              <w:bottom w:val="single" w:sz="6" w:space="0" w:color="000000"/>
              <w:right w:val="single" w:sz="6" w:space="0" w:color="000000"/>
            </w:tcBorders>
            <w:vAlign w:val="center"/>
            <w:hideMark/>
          </w:tcPr>
          <w:p w:rsidR="0058046E" w:rsidRDefault="000810B9" w:rsidP="000810B9">
            <w:pPr>
              <w:autoSpaceDE w:val="0"/>
              <w:autoSpaceDN w:val="0"/>
              <w:jc w:val="center"/>
              <w:rPr>
                <w:rFonts w:ascii="等线" w:eastAsia="等线" w:hAnsi="等线"/>
                <w:color w:val="000000"/>
                <w:kern w:val="2"/>
              </w:rPr>
            </w:pPr>
            <w:r>
              <w:rPr>
                <w:rFonts w:ascii="等线" w:eastAsia="等线" w:hAnsi="等线" w:hint="eastAsia"/>
                <w:color w:val="000000"/>
                <w:kern w:val="2"/>
              </w:rPr>
              <w:t>0.1849</w:t>
            </w:r>
          </w:p>
        </w:tc>
        <w:tc>
          <w:tcPr>
            <w:tcW w:w="1764" w:type="dxa"/>
            <w:tcBorders>
              <w:top w:val="nil"/>
              <w:left w:val="nil"/>
              <w:bottom w:val="single" w:sz="6" w:space="0" w:color="000000"/>
              <w:right w:val="single" w:sz="6" w:space="0" w:color="000000"/>
            </w:tcBorders>
            <w:vAlign w:val="center"/>
            <w:hideMark/>
          </w:tcPr>
          <w:p w:rsidR="0058046E" w:rsidRDefault="0058046E">
            <w:pPr>
              <w:autoSpaceDE w:val="0"/>
              <w:autoSpaceDN w:val="0"/>
              <w:jc w:val="center"/>
              <w:rPr>
                <w:rFonts w:ascii="等线" w:eastAsia="等线" w:hAnsi="等线"/>
                <w:color w:val="000000"/>
                <w:kern w:val="2"/>
              </w:rPr>
            </w:pPr>
            <w:r>
              <w:rPr>
                <w:rFonts w:ascii="等线" w:eastAsia="等线" w:hAnsi="等线" w:hint="eastAsia"/>
                <w:color w:val="000000"/>
                <w:kern w:val="2"/>
              </w:rPr>
              <w:t>42</w:t>
            </w:r>
          </w:p>
        </w:tc>
        <w:tc>
          <w:tcPr>
            <w:tcW w:w="1937" w:type="dxa"/>
            <w:tcBorders>
              <w:top w:val="nil"/>
              <w:left w:val="nil"/>
              <w:bottom w:val="single" w:sz="6" w:space="0" w:color="000000"/>
              <w:right w:val="single" w:sz="12" w:space="0" w:color="000000"/>
            </w:tcBorders>
            <w:vAlign w:val="center"/>
            <w:hideMark/>
          </w:tcPr>
          <w:p w:rsidR="0058046E" w:rsidRDefault="0058046E">
            <w:pPr>
              <w:autoSpaceDE w:val="0"/>
              <w:autoSpaceDN w:val="0"/>
              <w:jc w:val="center"/>
              <w:rPr>
                <w:rFonts w:ascii="等线" w:eastAsia="等线" w:hAnsi="等线"/>
                <w:color w:val="000000"/>
                <w:kern w:val="2"/>
              </w:rPr>
            </w:pPr>
            <w:r>
              <w:rPr>
                <w:rFonts w:ascii="等线" w:eastAsia="等线" w:hAnsi="等线" w:hint="eastAsia"/>
                <w:color w:val="000000"/>
                <w:kern w:val="2"/>
              </w:rPr>
              <w:t>28</w:t>
            </w:r>
          </w:p>
        </w:tc>
      </w:tr>
      <w:tr w:rsidR="0058046E" w:rsidTr="00AB4FEA">
        <w:trPr>
          <w:trHeight w:val="1004"/>
          <w:jc w:val="center"/>
        </w:trPr>
        <w:tc>
          <w:tcPr>
            <w:tcW w:w="2515" w:type="dxa"/>
            <w:tcBorders>
              <w:top w:val="nil"/>
              <w:left w:val="single" w:sz="12" w:space="0" w:color="000000"/>
              <w:bottom w:val="single" w:sz="12" w:space="0" w:color="000000"/>
              <w:right w:val="single" w:sz="6" w:space="0" w:color="000000"/>
            </w:tcBorders>
            <w:vAlign w:val="center"/>
            <w:hideMark/>
          </w:tcPr>
          <w:p w:rsidR="0058046E" w:rsidRDefault="0058046E">
            <w:pPr>
              <w:autoSpaceDE w:val="0"/>
              <w:autoSpaceDN w:val="0"/>
              <w:jc w:val="center"/>
              <w:rPr>
                <w:rFonts w:ascii="宋体" w:hAnsi="宋体"/>
                <w:kern w:val="2"/>
                <w:sz w:val="24"/>
                <w:szCs w:val="22"/>
              </w:rPr>
            </w:pPr>
            <w:r>
              <w:rPr>
                <w:rFonts w:ascii="宋体" w:hAnsi="宋体" w:hint="eastAsia"/>
                <w:kern w:val="2"/>
                <w:sz w:val="24"/>
                <w:szCs w:val="22"/>
              </w:rPr>
              <w:t>二、工商业及其他用电（单一制）</w:t>
            </w:r>
          </w:p>
        </w:tc>
        <w:tc>
          <w:tcPr>
            <w:tcW w:w="1472" w:type="dxa"/>
            <w:tcBorders>
              <w:top w:val="nil"/>
              <w:left w:val="nil"/>
              <w:bottom w:val="single" w:sz="12" w:space="0" w:color="000000"/>
              <w:right w:val="single" w:sz="6" w:space="0" w:color="000000"/>
            </w:tcBorders>
            <w:shd w:val="clear" w:color="auto" w:fill="FFFFFF"/>
            <w:vAlign w:val="center"/>
            <w:hideMark/>
          </w:tcPr>
          <w:p w:rsidR="0058046E" w:rsidRDefault="000810B9">
            <w:pPr>
              <w:jc w:val="center"/>
              <w:rPr>
                <w:rFonts w:ascii="宋体" w:hAnsi="宋体"/>
                <w:kern w:val="2"/>
                <w:sz w:val="24"/>
                <w:szCs w:val="22"/>
              </w:rPr>
            </w:pPr>
            <w:r>
              <w:rPr>
                <w:rFonts w:ascii="等线" w:eastAsia="等线" w:hAnsi="等线" w:hint="eastAsia"/>
                <w:color w:val="000000"/>
                <w:kern w:val="2"/>
              </w:rPr>
              <w:t>0.4656</w:t>
            </w:r>
          </w:p>
        </w:tc>
        <w:tc>
          <w:tcPr>
            <w:tcW w:w="1472" w:type="dxa"/>
            <w:tcBorders>
              <w:top w:val="nil"/>
              <w:left w:val="nil"/>
              <w:bottom w:val="single" w:sz="12" w:space="0" w:color="000000"/>
              <w:right w:val="single" w:sz="6" w:space="0" w:color="000000"/>
            </w:tcBorders>
            <w:shd w:val="clear" w:color="auto" w:fill="FFFFFF"/>
            <w:vAlign w:val="center"/>
            <w:hideMark/>
          </w:tcPr>
          <w:p w:rsidR="0058046E" w:rsidRDefault="000810B9">
            <w:pPr>
              <w:jc w:val="center"/>
              <w:rPr>
                <w:rFonts w:ascii="宋体" w:hAnsi="宋体"/>
                <w:kern w:val="2"/>
                <w:sz w:val="24"/>
                <w:szCs w:val="22"/>
              </w:rPr>
            </w:pPr>
            <w:r>
              <w:rPr>
                <w:rFonts w:ascii="等线" w:eastAsia="等线" w:hAnsi="等线" w:hint="eastAsia"/>
                <w:color w:val="000000"/>
                <w:kern w:val="2"/>
              </w:rPr>
              <w:t>0.4189</w:t>
            </w:r>
          </w:p>
        </w:tc>
        <w:tc>
          <w:tcPr>
            <w:tcW w:w="1472" w:type="dxa"/>
            <w:tcBorders>
              <w:top w:val="nil"/>
              <w:left w:val="nil"/>
              <w:bottom w:val="single" w:sz="12" w:space="0" w:color="000000"/>
              <w:right w:val="single" w:sz="6" w:space="0" w:color="000000"/>
            </w:tcBorders>
            <w:shd w:val="clear" w:color="auto" w:fill="FFFFFF"/>
            <w:vAlign w:val="center"/>
            <w:hideMark/>
          </w:tcPr>
          <w:p w:rsidR="0058046E" w:rsidRDefault="000810B9">
            <w:pPr>
              <w:jc w:val="center"/>
              <w:rPr>
                <w:rFonts w:ascii="宋体" w:hAnsi="宋体"/>
                <w:kern w:val="2"/>
                <w:sz w:val="24"/>
                <w:szCs w:val="22"/>
              </w:rPr>
            </w:pPr>
            <w:r>
              <w:rPr>
                <w:rFonts w:ascii="等线" w:eastAsia="等线" w:hAnsi="等线" w:hint="eastAsia"/>
                <w:color w:val="000000"/>
                <w:kern w:val="2"/>
              </w:rPr>
              <w:t>0.3932</w:t>
            </w:r>
          </w:p>
        </w:tc>
        <w:tc>
          <w:tcPr>
            <w:tcW w:w="1472" w:type="dxa"/>
            <w:tcBorders>
              <w:top w:val="nil"/>
              <w:left w:val="nil"/>
              <w:bottom w:val="single" w:sz="12" w:space="0" w:color="000000"/>
              <w:right w:val="single" w:sz="6" w:space="0" w:color="000000"/>
            </w:tcBorders>
            <w:shd w:val="clear" w:color="auto" w:fill="FFFFFF"/>
            <w:vAlign w:val="center"/>
            <w:hideMark/>
          </w:tcPr>
          <w:p w:rsidR="0058046E" w:rsidRDefault="000810B9">
            <w:pPr>
              <w:jc w:val="center"/>
              <w:rPr>
                <w:rFonts w:ascii="宋体" w:hAnsi="宋体"/>
                <w:kern w:val="2"/>
                <w:sz w:val="24"/>
                <w:szCs w:val="22"/>
              </w:rPr>
            </w:pPr>
            <w:r>
              <w:rPr>
                <w:rFonts w:ascii="等线" w:eastAsia="等线" w:hAnsi="等线" w:hint="eastAsia"/>
                <w:color w:val="000000"/>
                <w:kern w:val="2"/>
              </w:rPr>
              <w:t>0.3747</w:t>
            </w:r>
          </w:p>
        </w:tc>
        <w:tc>
          <w:tcPr>
            <w:tcW w:w="1473" w:type="dxa"/>
            <w:tcBorders>
              <w:top w:val="nil"/>
              <w:left w:val="nil"/>
              <w:bottom w:val="single" w:sz="12" w:space="0" w:color="000000"/>
              <w:right w:val="single" w:sz="6" w:space="0" w:color="000000"/>
            </w:tcBorders>
            <w:shd w:val="clear" w:color="auto" w:fill="FFFFFF"/>
            <w:vAlign w:val="center"/>
            <w:hideMark/>
          </w:tcPr>
          <w:p w:rsidR="0058046E" w:rsidRDefault="000810B9">
            <w:pPr>
              <w:jc w:val="center"/>
              <w:rPr>
                <w:rFonts w:ascii="等线" w:eastAsia="等线" w:hAnsi="等线"/>
                <w:color w:val="000000"/>
                <w:kern w:val="2"/>
              </w:rPr>
            </w:pPr>
            <w:r>
              <w:rPr>
                <w:rFonts w:ascii="等线" w:eastAsia="等线" w:hAnsi="等线" w:hint="eastAsia"/>
                <w:color w:val="000000"/>
                <w:kern w:val="2"/>
              </w:rPr>
              <w:t>0.3747</w:t>
            </w:r>
          </w:p>
        </w:tc>
        <w:tc>
          <w:tcPr>
            <w:tcW w:w="1764" w:type="dxa"/>
            <w:tcBorders>
              <w:top w:val="nil"/>
              <w:left w:val="nil"/>
              <w:bottom w:val="single" w:sz="12" w:space="0" w:color="000000"/>
              <w:right w:val="single" w:sz="6" w:space="0" w:color="000000"/>
            </w:tcBorders>
            <w:shd w:val="clear" w:color="auto" w:fill="FFFFFF"/>
            <w:vAlign w:val="center"/>
            <w:hideMark/>
          </w:tcPr>
          <w:p w:rsidR="0058046E" w:rsidRDefault="0058046E">
            <w:pPr>
              <w:jc w:val="center"/>
              <w:rPr>
                <w:rFonts w:ascii="宋体" w:hAnsi="宋体"/>
                <w:kern w:val="2"/>
                <w:sz w:val="24"/>
                <w:szCs w:val="22"/>
              </w:rPr>
            </w:pPr>
          </w:p>
        </w:tc>
        <w:tc>
          <w:tcPr>
            <w:tcW w:w="1937" w:type="dxa"/>
            <w:tcBorders>
              <w:top w:val="nil"/>
              <w:left w:val="nil"/>
              <w:bottom w:val="single" w:sz="12" w:space="0" w:color="000000"/>
              <w:right w:val="single" w:sz="12" w:space="0" w:color="000000"/>
            </w:tcBorders>
            <w:shd w:val="clear" w:color="auto" w:fill="FFFFFF"/>
            <w:vAlign w:val="center"/>
            <w:hideMark/>
          </w:tcPr>
          <w:p w:rsidR="0058046E" w:rsidRDefault="0058046E">
            <w:pPr>
              <w:jc w:val="center"/>
              <w:rPr>
                <w:rFonts w:ascii="宋体" w:hAnsi="宋体"/>
                <w:kern w:val="2"/>
                <w:sz w:val="24"/>
                <w:szCs w:val="22"/>
              </w:rPr>
            </w:pPr>
          </w:p>
        </w:tc>
      </w:tr>
    </w:tbl>
    <w:p w:rsidR="0058046E" w:rsidRDefault="0058046E" w:rsidP="0058046E">
      <w:pPr>
        <w:spacing w:line="400" w:lineRule="exact"/>
        <w:ind w:firstLineChars="200" w:firstLine="480"/>
        <w:rPr>
          <w:color w:val="000000"/>
          <w:sz w:val="24"/>
          <w:szCs w:val="24"/>
        </w:rPr>
      </w:pPr>
      <w:r>
        <w:rPr>
          <w:rFonts w:hint="eastAsia"/>
          <w:color w:val="000000"/>
          <w:sz w:val="24"/>
          <w:szCs w:val="24"/>
        </w:rPr>
        <w:t>注：</w:t>
      </w:r>
      <w:r>
        <w:rPr>
          <w:color w:val="000000"/>
          <w:sz w:val="24"/>
          <w:szCs w:val="24"/>
        </w:rPr>
        <w:t>1</w:t>
      </w:r>
      <w:r>
        <w:rPr>
          <w:rFonts w:hint="eastAsia"/>
          <w:color w:val="000000"/>
          <w:sz w:val="24"/>
          <w:szCs w:val="24"/>
        </w:rPr>
        <w:t>．表中电价含增值税、线损及交叉补贴，不含政府性基金及附加。</w:t>
      </w:r>
    </w:p>
    <w:p w:rsidR="0058046E" w:rsidRDefault="0058046E" w:rsidP="0058046E">
      <w:pPr>
        <w:spacing w:line="400" w:lineRule="exact"/>
        <w:ind w:leftChars="477" w:left="1276" w:hangingChars="134" w:hanging="322"/>
        <w:rPr>
          <w:color w:val="000000"/>
          <w:sz w:val="24"/>
          <w:szCs w:val="24"/>
        </w:rPr>
      </w:pPr>
      <w:r>
        <w:rPr>
          <w:color w:val="000000"/>
          <w:sz w:val="24"/>
          <w:szCs w:val="24"/>
        </w:rPr>
        <w:t>2</w:t>
      </w:r>
      <w:r>
        <w:rPr>
          <w:rFonts w:hint="eastAsia"/>
          <w:color w:val="000000"/>
          <w:sz w:val="24"/>
          <w:szCs w:val="24"/>
        </w:rPr>
        <w:t>．参与电力市场化交易的电力用户输配电价水平按上表执行，并按规定征收政府性基金及附加。政府性基金及附加的具体征收标准以现行目录销售电价表中征收标准为准。其他电力用户继续执行现行目录销售电价政策。</w:t>
      </w:r>
      <w:r>
        <w:rPr>
          <w:color w:val="000000"/>
          <w:sz w:val="24"/>
          <w:szCs w:val="24"/>
        </w:rPr>
        <w:t xml:space="preserve"> </w:t>
      </w:r>
    </w:p>
    <w:p w:rsidR="0058046E" w:rsidRDefault="0058046E" w:rsidP="0058046E">
      <w:pPr>
        <w:spacing w:line="400" w:lineRule="exact"/>
        <w:ind w:leftChars="477" w:left="1276" w:hangingChars="134" w:hanging="322"/>
      </w:pPr>
      <w:r>
        <w:rPr>
          <w:color w:val="000000"/>
          <w:sz w:val="24"/>
          <w:szCs w:val="24"/>
        </w:rPr>
        <w:t>3</w:t>
      </w:r>
      <w:r>
        <w:rPr>
          <w:rFonts w:hint="eastAsia"/>
          <w:color w:val="000000"/>
          <w:sz w:val="24"/>
          <w:szCs w:val="24"/>
        </w:rPr>
        <w:t>．</w:t>
      </w:r>
      <w:r>
        <w:rPr>
          <w:color w:val="000000"/>
          <w:sz w:val="24"/>
          <w:szCs w:val="24"/>
        </w:rPr>
        <w:t>2017</w:t>
      </w:r>
      <w:r>
        <w:rPr>
          <w:rFonts w:hint="eastAsia"/>
          <w:color w:val="000000"/>
          <w:sz w:val="24"/>
          <w:szCs w:val="24"/>
        </w:rPr>
        <w:t>—</w:t>
      </w:r>
      <w:r>
        <w:rPr>
          <w:color w:val="000000"/>
          <w:sz w:val="24"/>
          <w:szCs w:val="24"/>
        </w:rPr>
        <w:t>2019</w:t>
      </w:r>
      <w:r>
        <w:rPr>
          <w:rFonts w:hint="eastAsia"/>
          <w:color w:val="000000"/>
          <w:sz w:val="24"/>
          <w:szCs w:val="24"/>
        </w:rPr>
        <w:t>年国网上海市电力公司综合线损率按</w:t>
      </w:r>
      <w:r>
        <w:rPr>
          <w:color w:val="000000"/>
          <w:sz w:val="24"/>
          <w:szCs w:val="24"/>
        </w:rPr>
        <w:t>6.19%</w:t>
      </w:r>
      <w:r>
        <w:rPr>
          <w:rFonts w:hint="eastAsia"/>
          <w:color w:val="000000"/>
          <w:sz w:val="24"/>
          <w:szCs w:val="24"/>
        </w:rPr>
        <w:t>计算，实际运行中线损率超过</w:t>
      </w:r>
      <w:r>
        <w:rPr>
          <w:color w:val="000000"/>
          <w:sz w:val="24"/>
          <w:szCs w:val="24"/>
        </w:rPr>
        <w:t>6.19%</w:t>
      </w:r>
      <w:r>
        <w:rPr>
          <w:rFonts w:hint="eastAsia"/>
          <w:color w:val="000000"/>
          <w:sz w:val="24"/>
          <w:szCs w:val="24"/>
        </w:rPr>
        <w:t>带来的风险由国网上海市电力公司承担，低于</w:t>
      </w:r>
      <w:r>
        <w:rPr>
          <w:color w:val="000000"/>
          <w:sz w:val="24"/>
          <w:szCs w:val="24"/>
        </w:rPr>
        <w:t>6.19%</w:t>
      </w:r>
      <w:r>
        <w:rPr>
          <w:rFonts w:hint="eastAsia"/>
          <w:color w:val="000000"/>
          <w:sz w:val="24"/>
          <w:szCs w:val="24"/>
        </w:rPr>
        <w:t>的收益由国网上海市电力公司和用户各分享</w:t>
      </w:r>
      <w:r>
        <w:rPr>
          <w:color w:val="000000"/>
          <w:sz w:val="24"/>
          <w:szCs w:val="24"/>
        </w:rPr>
        <w:t>50%</w:t>
      </w:r>
      <w:r>
        <w:rPr>
          <w:rFonts w:hint="eastAsia"/>
          <w:color w:val="000000"/>
          <w:sz w:val="24"/>
          <w:szCs w:val="24"/>
        </w:rPr>
        <w:t>。</w:t>
      </w:r>
    </w:p>
    <w:p w:rsidR="00C41538" w:rsidRPr="0058046E" w:rsidRDefault="00C41538"/>
    <w:sectPr w:rsidR="00C41538" w:rsidRPr="0058046E" w:rsidSect="0058046E">
      <w:headerReference w:type="even" r:id="rId6"/>
      <w:head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378" w:rsidRDefault="00A06378" w:rsidP="0058046E">
      <w:r>
        <w:separator/>
      </w:r>
    </w:p>
  </w:endnote>
  <w:endnote w:type="continuationSeparator" w:id="1">
    <w:p w:rsidR="00A06378" w:rsidRDefault="00A06378" w:rsidP="00580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0" w:usb1="00000000" w:usb2="00000000" w:usb3="00000000" w:csb0="00000000" w:csb1="00000000"/>
  </w:font>
  <w:font w:name="等线">
    <w:altName w:val="宋体"/>
    <w:charset w:val="01"/>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378" w:rsidRDefault="00A06378" w:rsidP="0058046E">
      <w:r>
        <w:separator/>
      </w:r>
    </w:p>
  </w:footnote>
  <w:footnote w:type="continuationSeparator" w:id="1">
    <w:p w:rsidR="00A06378" w:rsidRDefault="00A06378" w:rsidP="00580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6E" w:rsidRDefault="0058046E" w:rsidP="0058046E">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6E" w:rsidRDefault="0058046E" w:rsidP="0058046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046E"/>
    <w:rsid w:val="000810B9"/>
    <w:rsid w:val="000A35B3"/>
    <w:rsid w:val="000B6477"/>
    <w:rsid w:val="0013431E"/>
    <w:rsid w:val="002B0F6F"/>
    <w:rsid w:val="002E17C2"/>
    <w:rsid w:val="004E03A3"/>
    <w:rsid w:val="00554DCA"/>
    <w:rsid w:val="0058046E"/>
    <w:rsid w:val="00794B40"/>
    <w:rsid w:val="00904BEA"/>
    <w:rsid w:val="00A06378"/>
    <w:rsid w:val="00AB4FEA"/>
    <w:rsid w:val="00C41538"/>
    <w:rsid w:val="00F40551"/>
    <w:rsid w:val="00F669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4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804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8046E"/>
    <w:rPr>
      <w:sz w:val="18"/>
      <w:szCs w:val="18"/>
    </w:rPr>
  </w:style>
  <w:style w:type="paragraph" w:styleId="a4">
    <w:name w:val="footer"/>
    <w:basedOn w:val="a"/>
    <w:link w:val="Char0"/>
    <w:rsid w:val="0058046E"/>
    <w:pPr>
      <w:tabs>
        <w:tab w:val="center" w:pos="4153"/>
        <w:tab w:val="right" w:pos="8306"/>
      </w:tabs>
      <w:snapToGrid w:val="0"/>
    </w:pPr>
    <w:rPr>
      <w:sz w:val="18"/>
      <w:szCs w:val="18"/>
    </w:rPr>
  </w:style>
  <w:style w:type="character" w:customStyle="1" w:styleId="Char0">
    <w:name w:val="页脚 Char"/>
    <w:basedOn w:val="a0"/>
    <w:link w:val="a4"/>
    <w:rsid w:val="0058046E"/>
    <w:rPr>
      <w:sz w:val="18"/>
      <w:szCs w:val="18"/>
    </w:rPr>
  </w:style>
  <w:style w:type="paragraph" w:styleId="a5">
    <w:name w:val="Document Map"/>
    <w:basedOn w:val="a"/>
    <w:link w:val="Char1"/>
    <w:rsid w:val="0058046E"/>
    <w:rPr>
      <w:rFonts w:ascii="宋体"/>
      <w:sz w:val="18"/>
      <w:szCs w:val="18"/>
    </w:rPr>
  </w:style>
  <w:style w:type="character" w:customStyle="1" w:styleId="Char1">
    <w:name w:val="文档结构图 Char"/>
    <w:basedOn w:val="a0"/>
    <w:link w:val="a5"/>
    <w:rsid w:val="0058046E"/>
    <w:rPr>
      <w:rFonts w:ascii="宋体"/>
      <w:sz w:val="18"/>
      <w:szCs w:val="18"/>
    </w:rPr>
  </w:style>
</w:styles>
</file>

<file path=word/webSettings.xml><?xml version="1.0" encoding="utf-8"?>
<w:webSettings xmlns:r="http://schemas.openxmlformats.org/officeDocument/2006/relationships" xmlns:w="http://schemas.openxmlformats.org/wordprocessingml/2006/main">
  <w:divs>
    <w:div w:id="12731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393</Characters>
  <Application>Microsoft Office Word</Application>
  <DocSecurity>0</DocSecurity>
  <Lines>3</Lines>
  <Paragraphs>1</Paragraphs>
  <ScaleCrop>false</ScaleCrop>
  <Company>上海市发改委</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余斌</dc:creator>
  <cp:keywords/>
  <dc:description/>
  <cp:lastModifiedBy>shdrc-</cp:lastModifiedBy>
  <cp:revision>5</cp:revision>
  <cp:lastPrinted>2018-04-09T06:28:00Z</cp:lastPrinted>
  <dcterms:created xsi:type="dcterms:W3CDTF">2018-04-09T02:03:00Z</dcterms:created>
  <dcterms:modified xsi:type="dcterms:W3CDTF">2018-04-09T06:28:00Z</dcterms:modified>
</cp:coreProperties>
</file>