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新宋体" w:eastAsia="黑体"/>
          <w:b/>
          <w:sz w:val="32"/>
          <w:szCs w:val="32"/>
        </w:rPr>
      </w:pPr>
      <w:r>
        <w:rPr>
          <w:rFonts w:hint="eastAsia" w:ascii="黑体" w:hAnsi="新宋体" w:eastAsia="黑体"/>
          <w:b/>
          <w:sz w:val="32"/>
          <w:szCs w:val="32"/>
        </w:rPr>
        <w:t>附件2：</w:t>
      </w:r>
    </w:p>
    <w:p>
      <w:pPr>
        <w:widowControl/>
        <w:jc w:val="center"/>
        <w:rPr>
          <w:rFonts w:hint="eastAsia" w:hAnsi="华文中宋" w:eastAsia="华文中宋"/>
          <w:b/>
          <w:sz w:val="32"/>
          <w:szCs w:val="32"/>
        </w:rPr>
      </w:pPr>
      <w:r>
        <w:rPr>
          <w:rFonts w:hAnsi="华文中宋" w:eastAsia="华文中宋"/>
          <w:b/>
          <w:sz w:val="32"/>
          <w:szCs w:val="32"/>
        </w:rPr>
        <w:t>长三角地区深化推进国家社会信用体系建设区域合作示范区建设行动方案（</w:t>
      </w:r>
      <w:r>
        <w:rPr>
          <w:rFonts w:eastAsia="华文中宋"/>
          <w:b/>
          <w:sz w:val="32"/>
          <w:szCs w:val="32"/>
        </w:rPr>
        <w:t>2018-2020</w:t>
      </w:r>
      <w:r>
        <w:rPr>
          <w:rFonts w:hAnsi="华文中宋" w:eastAsia="华文中宋"/>
          <w:b/>
          <w:sz w:val="32"/>
          <w:szCs w:val="32"/>
        </w:rPr>
        <w:t>年）</w:t>
      </w:r>
    </w:p>
    <w:p>
      <w:pPr>
        <w:widowControl/>
        <w:jc w:val="center"/>
        <w:rPr>
          <w:rFonts w:hAnsi="华文中宋" w:eastAsia="华文中宋"/>
          <w:b/>
          <w:sz w:val="32"/>
          <w:szCs w:val="32"/>
        </w:rPr>
      </w:pPr>
      <w:r>
        <w:rPr>
          <w:rFonts w:hint="eastAsia" w:hAnsi="华文中宋" w:eastAsia="华文中宋"/>
          <w:b/>
          <w:sz w:val="32"/>
          <w:szCs w:val="32"/>
        </w:rPr>
        <w:t>2018年重点工作责任分工表</w:t>
      </w:r>
    </w:p>
    <w:tbl>
      <w:tblPr>
        <w:tblStyle w:val="3"/>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4"/>
        <w:gridCol w:w="6237"/>
        <w:gridCol w:w="1701"/>
        <w:gridCol w:w="198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28" w:type="dxa"/>
            <w:shd w:val="clear" w:color="auto" w:fill="auto"/>
            <w:vAlign w:val="center"/>
          </w:tcPr>
          <w:p>
            <w:pPr>
              <w:spacing w:line="260" w:lineRule="exact"/>
              <w:jc w:val="center"/>
              <w:rPr>
                <w:rFonts w:ascii="黑体" w:hAnsi="黑体" w:eastAsia="黑体"/>
                <w:sz w:val="24"/>
                <w:szCs w:val="24"/>
              </w:rPr>
            </w:pPr>
            <w:r>
              <w:rPr>
                <w:rFonts w:hint="eastAsia" w:ascii="黑体" w:hAnsi="黑体" w:eastAsia="黑体"/>
                <w:sz w:val="24"/>
                <w:szCs w:val="24"/>
              </w:rPr>
              <w:t>序号</w:t>
            </w:r>
          </w:p>
        </w:tc>
        <w:tc>
          <w:tcPr>
            <w:tcW w:w="1974" w:type="dxa"/>
            <w:shd w:val="clear" w:color="auto" w:fill="auto"/>
            <w:vAlign w:val="center"/>
          </w:tcPr>
          <w:p>
            <w:pPr>
              <w:spacing w:line="260" w:lineRule="exact"/>
              <w:jc w:val="center"/>
              <w:rPr>
                <w:rFonts w:ascii="黑体" w:hAnsi="黑体" w:eastAsia="黑体"/>
                <w:sz w:val="24"/>
                <w:szCs w:val="24"/>
              </w:rPr>
            </w:pPr>
            <w:r>
              <w:rPr>
                <w:rFonts w:hint="eastAsia" w:ascii="黑体" w:hAnsi="黑体" w:eastAsia="黑体"/>
                <w:sz w:val="24"/>
                <w:szCs w:val="24"/>
              </w:rPr>
              <w:t>专项行动</w:t>
            </w:r>
          </w:p>
        </w:tc>
        <w:tc>
          <w:tcPr>
            <w:tcW w:w="6237" w:type="dxa"/>
            <w:shd w:val="clear" w:color="auto" w:fill="auto"/>
            <w:vAlign w:val="center"/>
          </w:tcPr>
          <w:p>
            <w:pPr>
              <w:spacing w:line="260" w:lineRule="exact"/>
              <w:jc w:val="center"/>
              <w:rPr>
                <w:rFonts w:ascii="黑体" w:hAnsi="黑体" w:eastAsia="黑体"/>
                <w:sz w:val="24"/>
                <w:szCs w:val="24"/>
              </w:rPr>
            </w:pPr>
            <w:r>
              <w:rPr>
                <w:rFonts w:hint="eastAsia" w:ascii="黑体" w:hAnsi="黑体" w:eastAsia="黑体"/>
                <w:sz w:val="24"/>
                <w:szCs w:val="24"/>
              </w:rPr>
              <w:t>主要内容</w:t>
            </w:r>
          </w:p>
        </w:tc>
        <w:tc>
          <w:tcPr>
            <w:tcW w:w="1701" w:type="dxa"/>
            <w:shd w:val="clear" w:color="auto" w:fill="auto"/>
            <w:vAlign w:val="center"/>
          </w:tcPr>
          <w:p>
            <w:pPr>
              <w:spacing w:line="260" w:lineRule="exact"/>
              <w:jc w:val="center"/>
              <w:rPr>
                <w:rFonts w:ascii="黑体" w:hAnsi="黑体" w:eastAsia="黑体"/>
                <w:sz w:val="24"/>
                <w:szCs w:val="24"/>
              </w:rPr>
            </w:pPr>
            <w:r>
              <w:rPr>
                <w:rFonts w:hint="eastAsia" w:ascii="黑体" w:hAnsi="黑体" w:eastAsia="黑体"/>
                <w:sz w:val="24"/>
                <w:szCs w:val="24"/>
              </w:rPr>
              <w:t>牵头单位</w:t>
            </w:r>
          </w:p>
        </w:tc>
        <w:tc>
          <w:tcPr>
            <w:tcW w:w="1980" w:type="dxa"/>
            <w:shd w:val="clear" w:color="auto" w:fill="auto"/>
            <w:vAlign w:val="center"/>
          </w:tcPr>
          <w:p>
            <w:pPr>
              <w:spacing w:line="260" w:lineRule="exact"/>
              <w:jc w:val="center"/>
              <w:rPr>
                <w:rFonts w:ascii="黑体" w:hAnsi="黑体" w:eastAsia="黑体"/>
                <w:sz w:val="24"/>
                <w:szCs w:val="24"/>
              </w:rPr>
            </w:pPr>
            <w:r>
              <w:rPr>
                <w:rFonts w:hint="eastAsia" w:ascii="黑体" w:hAnsi="黑体" w:eastAsia="黑体"/>
                <w:sz w:val="24"/>
                <w:szCs w:val="24"/>
              </w:rPr>
              <w:t>配合单位</w:t>
            </w:r>
          </w:p>
        </w:tc>
        <w:tc>
          <w:tcPr>
            <w:tcW w:w="1458" w:type="dxa"/>
            <w:shd w:val="clear" w:color="auto" w:fill="auto"/>
            <w:vAlign w:val="center"/>
          </w:tcPr>
          <w:p>
            <w:pPr>
              <w:spacing w:line="260" w:lineRule="exact"/>
              <w:jc w:val="center"/>
              <w:rPr>
                <w:rFonts w:ascii="黑体" w:hAnsi="黑体" w:eastAsia="黑体"/>
                <w:sz w:val="24"/>
                <w:szCs w:val="24"/>
              </w:rPr>
            </w:pPr>
            <w:r>
              <w:rPr>
                <w:rFonts w:hint="eastAsia" w:ascii="黑体" w:hAnsi="黑体" w:eastAsia="黑体"/>
                <w:sz w:val="24"/>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1</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“信用长三角”品牌打响专项行动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成立专项工作组，启动“长三角信用环境综合指数”研究工作。</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上海市信用办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江苏省、浙江省、安徽省信用办</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研究提出“长三角信用环境综合指数”指标体系，形成征求意见稿。</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2</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信用城市集群共建专项行动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启动长三角信用城市联盟成立相关工作，召开联盟成员单位会议。</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江苏省信用办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上海市、浙江省、安徽省信用办</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形成跨行政级别城市间的合作机制，指导各城市开展区域社会信用体系建设工作。</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3</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诚信政务服务专项行动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形成信用支撑“互联网+政务服务”行动方案，助力打响诚信政务服务品牌。</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浙江省信用办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上海市、江苏省、安徽省信用办</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共同制定区域政务诚信失信行为认定标准，探索开展政务诚信评价。</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4</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信用联合监管专项行动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制定上海市信用证明“N证合一”专项行动计划，梳理可委托授权办理无违法违规信用证明的事项，形成“N证合一”年度事项清单。</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信用办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江苏省、浙江省、安徽省信用办，</w:t>
            </w:r>
            <w:r>
              <w:rPr>
                <w:rFonts w:ascii="仿宋_GB2312" w:eastAsia="仿宋_GB2312"/>
                <w:sz w:val="24"/>
                <w:szCs w:val="24"/>
              </w:rPr>
              <w:t>三省一市各行业主管部门</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研究信用证明跨区域合作应用领域，研究编制区域信用证明“N证合一”工作方案。</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eastAsia="仿宋_GB2312"/>
                <w:bCs/>
                <w:kern w:val="0"/>
                <w:sz w:val="24"/>
                <w:szCs w:val="24"/>
              </w:rPr>
              <w:t>先期</w:t>
            </w:r>
            <w:r>
              <w:rPr>
                <w:rFonts w:eastAsia="仿宋_GB2312"/>
                <w:bCs/>
                <w:kern w:val="0"/>
                <w:sz w:val="24"/>
                <w:szCs w:val="24"/>
              </w:rPr>
              <w:t>选择</w:t>
            </w:r>
            <w:r>
              <w:rPr>
                <w:rFonts w:hint="eastAsia" w:eastAsia="仿宋_GB2312"/>
                <w:bCs/>
                <w:kern w:val="0"/>
                <w:sz w:val="24"/>
                <w:szCs w:val="24"/>
              </w:rPr>
              <w:t>政务、电子商务、涉金融等</w:t>
            </w:r>
            <w:r>
              <w:rPr>
                <w:rFonts w:eastAsia="仿宋_GB2312"/>
                <w:bCs/>
                <w:kern w:val="0"/>
                <w:sz w:val="24"/>
                <w:szCs w:val="24"/>
              </w:rPr>
              <w:t>领域，</w:t>
            </w:r>
            <w:r>
              <w:rPr>
                <w:rFonts w:hint="eastAsia" w:eastAsia="仿宋_GB2312"/>
                <w:bCs/>
                <w:kern w:val="0"/>
                <w:sz w:val="24"/>
                <w:szCs w:val="24"/>
              </w:rPr>
              <w:t>就重点治理对象进行名单共享。</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w:t>
            </w:r>
            <w:r>
              <w:rPr>
                <w:rFonts w:ascii="仿宋_GB2312" w:eastAsia="仿宋_GB2312"/>
                <w:sz w:val="24"/>
                <w:szCs w:val="24"/>
              </w:rPr>
              <w:t>信用</w:t>
            </w:r>
            <w:r>
              <w:rPr>
                <w:rFonts w:hint="eastAsia" w:ascii="仿宋_GB2312" w:eastAsia="仿宋_GB2312"/>
                <w:sz w:val="24"/>
                <w:szCs w:val="24"/>
              </w:rPr>
              <w:t>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上海市、浙江省、安徽省信用办，</w:t>
            </w:r>
            <w:r>
              <w:rPr>
                <w:rFonts w:ascii="仿宋_GB2312" w:eastAsia="仿宋_GB2312"/>
                <w:sz w:val="24"/>
                <w:szCs w:val="24"/>
              </w:rPr>
              <w:t>三省一市各行业主管部门</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eastAsia="仿宋_GB2312"/>
                <w:bCs/>
                <w:kern w:val="0"/>
                <w:sz w:val="24"/>
                <w:szCs w:val="24"/>
              </w:rPr>
            </w:pPr>
            <w:r>
              <w:rPr>
                <w:rFonts w:hint="eastAsia" w:eastAsia="仿宋_GB2312"/>
                <w:bCs/>
                <w:kern w:val="0"/>
                <w:sz w:val="24"/>
                <w:szCs w:val="24"/>
              </w:rPr>
              <w:t>探索形成失信专项治理长效工作机制，形成行之有效的区域内联合惩戒措施。</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eastAsia="仿宋_GB2312"/>
                <w:bCs/>
                <w:kern w:val="0"/>
                <w:sz w:val="24"/>
                <w:szCs w:val="24"/>
              </w:rPr>
            </w:pPr>
            <w:r>
              <w:rPr>
                <w:rFonts w:hint="eastAsia" w:eastAsia="仿宋_GB2312"/>
                <w:bCs/>
                <w:kern w:val="0"/>
                <w:sz w:val="24"/>
                <w:szCs w:val="24"/>
              </w:rPr>
              <w:t>环境保护领域，从严重失信的重点排污企业入手，逐步扩大到环评机构等第三方机构的信用分类监管。尽快制定长三角地区首个环保领域严重失信行为认定标准，发布首批区域共享严重失信企业名单，落地实施授信融资限制、申请财政性资金项目限制、表彰评优限制等一批联合惩戒措施，启动长三角统一的区域环保信用评价标准制定工作。</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信用办</w:t>
            </w:r>
            <w:r>
              <w:rPr>
                <w:rFonts w:hint="eastAsia" w:ascii="仿宋_GB2312" w:eastAsia="仿宋_GB2312"/>
                <w:sz w:val="24"/>
                <w:szCs w:val="24"/>
              </w:rPr>
              <w:t>、浙江省信用办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江苏省、安徽省信用办，三省一市</w:t>
            </w:r>
            <w:r>
              <w:rPr>
                <w:rFonts w:ascii="仿宋_GB2312" w:eastAsia="仿宋_GB2312"/>
                <w:sz w:val="24"/>
                <w:szCs w:val="24"/>
              </w:rPr>
              <w:t>环保部门</w:t>
            </w:r>
          </w:p>
        </w:tc>
        <w:tc>
          <w:tcPr>
            <w:tcW w:w="1458" w:type="dxa"/>
            <w:shd w:val="clear" w:color="auto" w:fill="auto"/>
            <w:vAlign w:val="center"/>
          </w:tcPr>
          <w:p>
            <w:pPr>
              <w:spacing w:line="260" w:lineRule="exact"/>
              <w:jc w:val="center"/>
              <w:rPr>
                <w:rFonts w:ascii="仿宋_GB2312" w:eastAsia="仿宋_GB2312"/>
                <w:spacing w:val="-6"/>
                <w:sz w:val="24"/>
                <w:szCs w:val="24"/>
              </w:rPr>
            </w:pPr>
            <w:r>
              <w:rPr>
                <w:rFonts w:hint="eastAsia" w:ascii="仿宋_GB2312" w:eastAsia="仿宋_GB2312"/>
                <w:spacing w:val="-6"/>
                <w:sz w:val="24"/>
                <w:szCs w:val="24"/>
              </w:rPr>
              <w:t>上半年，完成</w:t>
            </w:r>
            <w:r>
              <w:rPr>
                <w:rFonts w:hint="eastAsia" w:eastAsia="仿宋_GB2312"/>
                <w:bCs/>
                <w:spacing w:val="-6"/>
                <w:kern w:val="0"/>
                <w:sz w:val="24"/>
                <w:szCs w:val="24"/>
              </w:rPr>
              <w:t>严重失信行为标准认定、推出一批联合惩戒措施。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eastAsia="仿宋_GB2312"/>
                <w:bCs/>
                <w:kern w:val="0"/>
                <w:sz w:val="24"/>
                <w:szCs w:val="24"/>
              </w:rPr>
            </w:pPr>
            <w:r>
              <w:rPr>
                <w:rFonts w:hint="eastAsia" w:eastAsia="仿宋_GB2312"/>
                <w:bCs/>
                <w:kern w:val="0"/>
                <w:sz w:val="24"/>
                <w:szCs w:val="24"/>
              </w:rPr>
              <w:t>食品药品领域，从重大食品药品安全事故、制假售假等人民群众最关心的严重违法行为入手，逐步扩大到涉及食品药品质量安全全过程信用分类监管。探索建立跨区联动的食品药品安全信息追溯与信用联合惩戒机制，对食品药品领域失信企业在融资授信、政府招标采购等方面进行限制。</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上海市、浙江省、安徽省信用办，三省一市食药</w:t>
            </w:r>
            <w:r>
              <w:rPr>
                <w:rFonts w:ascii="仿宋_GB2312" w:eastAsia="仿宋_GB2312"/>
                <w:sz w:val="24"/>
                <w:szCs w:val="24"/>
              </w:rPr>
              <w:t>部门</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eastAsia="仿宋_GB2312"/>
                <w:bCs/>
                <w:kern w:val="0"/>
                <w:sz w:val="24"/>
                <w:szCs w:val="24"/>
              </w:rPr>
            </w:pPr>
            <w:r>
              <w:rPr>
                <w:rFonts w:hint="eastAsia" w:eastAsia="仿宋_GB2312"/>
                <w:bCs/>
                <w:kern w:val="0"/>
                <w:sz w:val="24"/>
                <w:szCs w:val="24"/>
              </w:rPr>
              <w:t>产品质量领域，从涉及智能家电等产品的严重失信行为认定和实施惩戒入手，逐步扩展到各类产品的质量信用评价，推动质量信用信息在长三角地区的信息共享，完善区域间的联动奖惩机制。制定企业质量信用等级评价和《企业质量信用报告》发布制度。</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安徽省信用办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上海市、江苏省、浙江省信用办，三省一市质监</w:t>
            </w:r>
            <w:r>
              <w:rPr>
                <w:rFonts w:ascii="仿宋_GB2312" w:eastAsia="仿宋_GB2312"/>
                <w:sz w:val="24"/>
                <w:szCs w:val="24"/>
              </w:rPr>
              <w:t>部门</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8"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eastAsia="仿宋_GB2312"/>
                <w:bCs/>
                <w:kern w:val="0"/>
                <w:sz w:val="24"/>
                <w:szCs w:val="24"/>
              </w:rPr>
            </w:pPr>
            <w:r>
              <w:rPr>
                <w:rFonts w:hint="eastAsia" w:eastAsia="仿宋_GB2312"/>
                <w:bCs/>
                <w:kern w:val="0"/>
                <w:sz w:val="24"/>
                <w:szCs w:val="24"/>
              </w:rPr>
              <w:t>旅游领域，落实《长三角区域旅游领域信用联动奖惩合作备忘录》，先期以旅行社、导游（领队）等主体的信用分类管理为抓手，并逐步拓展至</w:t>
            </w:r>
            <w:r>
              <w:rPr>
                <w:rFonts w:eastAsia="仿宋_GB2312"/>
                <w:bCs/>
                <w:kern w:val="0"/>
                <w:sz w:val="24"/>
                <w:szCs w:val="24"/>
              </w:rPr>
              <w:t>A</w:t>
            </w:r>
            <w:r>
              <w:rPr>
                <w:rFonts w:hint="eastAsia" w:eastAsia="仿宋_GB2312"/>
                <w:bCs/>
                <w:kern w:val="0"/>
                <w:sz w:val="24"/>
                <w:szCs w:val="24"/>
              </w:rPr>
              <w:t>级景区、星级饭店等相关服务主体。整合旅游领域信用信息资源，形成政府和市场旅游信用信息交互共享、融合互动机制。发挥长三角旅游信用联盟的作用，在旅游发展资金支持、名牌推荐等方面形成政府、行业、市场联合惩戒有效机制。</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江苏省、浙江省、安徽省信用办，三省一市旅游</w:t>
            </w:r>
            <w:r>
              <w:rPr>
                <w:rFonts w:ascii="仿宋_GB2312" w:eastAsia="仿宋_GB2312"/>
                <w:sz w:val="24"/>
                <w:szCs w:val="24"/>
              </w:rPr>
              <w:t>部门</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5</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信用惠民专项行动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制定</w:t>
            </w:r>
            <w:r>
              <w:rPr>
                <w:rFonts w:ascii="仿宋_GB2312" w:eastAsia="仿宋_GB2312"/>
                <w:sz w:val="24"/>
                <w:szCs w:val="24"/>
              </w:rPr>
              <w:t>“</w:t>
            </w:r>
            <w:r>
              <w:rPr>
                <w:rFonts w:hint="eastAsia" w:ascii="仿宋_GB2312" w:eastAsia="仿宋_GB2312"/>
                <w:sz w:val="24"/>
                <w:szCs w:val="24"/>
              </w:rPr>
              <w:t>信易租</w:t>
            </w:r>
            <w:r>
              <w:rPr>
                <w:rFonts w:ascii="仿宋_GB2312" w:eastAsia="仿宋_GB2312"/>
                <w:sz w:val="24"/>
                <w:szCs w:val="24"/>
              </w:rPr>
              <w:t>”</w:t>
            </w:r>
            <w:r>
              <w:rPr>
                <w:rFonts w:hint="eastAsia" w:ascii="仿宋_GB2312" w:eastAsia="仿宋_GB2312"/>
                <w:sz w:val="24"/>
                <w:szCs w:val="24"/>
              </w:rPr>
              <w:t>区域信用</w:t>
            </w:r>
            <w:r>
              <w:rPr>
                <w:rFonts w:ascii="仿宋_GB2312" w:eastAsia="仿宋_GB2312"/>
                <w:sz w:val="24"/>
                <w:szCs w:val="24"/>
              </w:rPr>
              <w:t>惠民专项行动实施方案，</w:t>
            </w:r>
            <w:r>
              <w:rPr>
                <w:rFonts w:hint="eastAsia" w:ascii="仿宋_GB2312" w:eastAsia="仿宋_GB2312"/>
                <w:sz w:val="24"/>
                <w:szCs w:val="24"/>
              </w:rPr>
              <w:t>形成</w:t>
            </w:r>
            <w:r>
              <w:rPr>
                <w:rFonts w:ascii="仿宋_GB2312" w:eastAsia="仿宋_GB2312"/>
                <w:sz w:val="24"/>
                <w:szCs w:val="24"/>
              </w:rPr>
              <w:t>针对守信创新创业、创业团体的信用评价机制，率先选择一批区域内高新技术园区、产业园区落户的最具成长性及发展空间的</w:t>
            </w:r>
            <w:r>
              <w:rPr>
                <w:rFonts w:hint="eastAsia" w:ascii="仿宋_GB2312" w:eastAsia="仿宋_GB2312"/>
                <w:sz w:val="24"/>
                <w:szCs w:val="24"/>
              </w:rPr>
              <w:t>守信</w:t>
            </w:r>
            <w:r>
              <w:rPr>
                <w:rFonts w:ascii="仿宋_GB2312" w:eastAsia="仿宋_GB2312"/>
                <w:sz w:val="24"/>
                <w:szCs w:val="24"/>
              </w:rPr>
              <w:t>企业，</w:t>
            </w:r>
            <w:r>
              <w:rPr>
                <w:rFonts w:hint="eastAsia" w:ascii="仿宋_GB2312" w:eastAsia="仿宋_GB2312"/>
                <w:sz w:val="24"/>
                <w:szCs w:val="24"/>
              </w:rPr>
              <w:t>开展</w:t>
            </w:r>
            <w:r>
              <w:rPr>
                <w:rFonts w:ascii="仿宋_GB2312" w:eastAsia="仿宋_GB2312"/>
                <w:sz w:val="24"/>
                <w:szCs w:val="24"/>
              </w:rPr>
              <w:t>“</w:t>
            </w:r>
            <w:r>
              <w:rPr>
                <w:rFonts w:hint="eastAsia" w:ascii="仿宋_GB2312" w:eastAsia="仿宋_GB2312"/>
                <w:sz w:val="24"/>
                <w:szCs w:val="24"/>
              </w:rPr>
              <w:t>信易租</w:t>
            </w:r>
            <w:r>
              <w:rPr>
                <w:rFonts w:ascii="仿宋_GB2312" w:eastAsia="仿宋_GB2312"/>
                <w:sz w:val="24"/>
                <w:szCs w:val="24"/>
              </w:rPr>
              <w:t>”</w:t>
            </w:r>
            <w:r>
              <w:rPr>
                <w:rFonts w:hint="eastAsia" w:ascii="仿宋_GB2312" w:eastAsia="仿宋_GB2312"/>
                <w:sz w:val="24"/>
                <w:szCs w:val="24"/>
              </w:rPr>
              <w:t>试点</w:t>
            </w:r>
            <w:r>
              <w:rPr>
                <w:rFonts w:ascii="仿宋_GB2312" w:eastAsia="仿宋_GB2312"/>
                <w:sz w:val="24"/>
                <w:szCs w:val="24"/>
              </w:rPr>
              <w:t>工作。</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上海市、浙江省、安徽省信用办</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支持区域内相关城市，依托三省一市信用平台和地方信用平台，推动区域内更多城市建立‘信易贷’等新型融资模式。探索向符合支持条件的守信企业和个人提供纯信用免抵押的“信易贷”服务。</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安徽省</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、江苏省、浙江省信用办</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会同上海、浙江、安徽开展自然人信用评价研究，浙江率先开展省内自然人公共信用评价</w:t>
            </w:r>
            <w:r>
              <w:rPr>
                <w:rFonts w:ascii="仿宋_GB2312" w:eastAsia="仿宋_GB2312"/>
                <w:sz w:val="24"/>
                <w:szCs w:val="24"/>
              </w:rPr>
              <w:t>。</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浙江省</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上海市、江苏省、安徽省信用办，</w:t>
            </w:r>
            <w:r>
              <w:rPr>
                <w:rFonts w:ascii="仿宋_GB2312" w:eastAsia="仿宋_GB2312"/>
                <w:sz w:val="24"/>
                <w:szCs w:val="24"/>
              </w:rPr>
              <w:t>信用服务企业</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6</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行业信用建设专项行动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建立完善上海市市场信用信息共享平台，推动完成40个行业协会对接。</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信用办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江苏省、浙江省、安徽省信用办，</w:t>
            </w:r>
            <w:r>
              <w:rPr>
                <w:rFonts w:ascii="仿宋_GB2312" w:eastAsia="仿宋_GB2312"/>
                <w:sz w:val="24"/>
                <w:szCs w:val="24"/>
              </w:rPr>
              <w:t>三省一市各行业主管部门、行业组织</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鼓励区域内行业协会积极参与，争取拓展到江苏、浙江、安徽三省更多行业领域。</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先期</w:t>
            </w:r>
            <w:r>
              <w:rPr>
                <w:rFonts w:ascii="仿宋_GB2312" w:eastAsia="仿宋_GB2312"/>
                <w:sz w:val="24"/>
                <w:szCs w:val="24"/>
              </w:rPr>
              <w:t>选择</w:t>
            </w:r>
            <w:r>
              <w:rPr>
                <w:rFonts w:hint="eastAsia" w:ascii="仿宋_GB2312" w:eastAsia="仿宋_GB2312"/>
                <w:sz w:val="24"/>
                <w:szCs w:val="24"/>
              </w:rPr>
              <w:t>三省一市有一定基础的律师、家政服务、房产经纪、出租车、电力等行业入手，围绕行业诚信自律、诚信服务、诚信监督树立一批典型。</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浙江省</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w:t>
            </w:r>
            <w:r>
              <w:rPr>
                <w:rFonts w:hint="eastAsia" w:ascii="仿宋_GB2312" w:eastAsia="仿宋_GB2312"/>
                <w:sz w:val="24"/>
                <w:szCs w:val="24"/>
              </w:rPr>
              <w:t>江苏省、安徽省信用办，</w:t>
            </w:r>
            <w:r>
              <w:rPr>
                <w:rFonts w:ascii="仿宋_GB2312" w:eastAsia="仿宋_GB2312"/>
                <w:sz w:val="24"/>
                <w:szCs w:val="24"/>
              </w:rPr>
              <w:t>三省一市各行业主管部门、行业组织</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7</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信用大数据开放应用专项行动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建立联盟会议及工作机制，集聚企业、行业协会及相关机构力量，共同组建区域信用大数据联盟。</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上海市、浙江省、安徽省信用办，</w:t>
            </w:r>
            <w:r>
              <w:rPr>
                <w:rFonts w:ascii="仿宋_GB2312" w:eastAsia="仿宋_GB2312"/>
                <w:sz w:val="24"/>
                <w:szCs w:val="24"/>
              </w:rPr>
              <w:t>信用服务企业等各类社会主体</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 xml:space="preserve">上海市率先组织开展上海市首届信用大数据开放应用大赛，为区域性大数据应用大赛积累经验。 </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安徽省、江苏省</w:t>
            </w:r>
            <w:r>
              <w:rPr>
                <w:rFonts w:ascii="仿宋_GB2312" w:eastAsia="仿宋_GB2312"/>
                <w:sz w:val="24"/>
                <w:szCs w:val="24"/>
              </w:rPr>
              <w:t>、</w:t>
            </w:r>
            <w:r>
              <w:rPr>
                <w:rFonts w:hint="eastAsia" w:ascii="仿宋_GB2312" w:eastAsia="仿宋_GB2312"/>
                <w:sz w:val="24"/>
                <w:szCs w:val="24"/>
              </w:rPr>
              <w:t>浙江省信用办，</w:t>
            </w:r>
            <w:r>
              <w:rPr>
                <w:rFonts w:ascii="仿宋_GB2312" w:eastAsia="仿宋_GB2312"/>
                <w:sz w:val="24"/>
                <w:szCs w:val="24"/>
              </w:rPr>
              <w:t>信用服务企业等各类社会主体</w:t>
            </w:r>
          </w:p>
        </w:tc>
        <w:tc>
          <w:tcPr>
            <w:tcW w:w="1458" w:type="dxa"/>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82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8</w:t>
            </w:r>
          </w:p>
        </w:tc>
        <w:tc>
          <w:tcPr>
            <w:tcW w:w="1974"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信用服务产业集聚发展专项行动</w:t>
            </w: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建设完善上海市信用服务产业基地，年内完成30家信用服务企业集聚。</w:t>
            </w:r>
          </w:p>
        </w:tc>
        <w:tc>
          <w:tcPr>
            <w:tcW w:w="1701"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w:t>
            </w:r>
            <w:r>
              <w:rPr>
                <w:rFonts w:ascii="仿宋_GB2312" w:eastAsia="仿宋_GB2312"/>
                <w:sz w:val="24"/>
                <w:szCs w:val="24"/>
              </w:rPr>
              <w:t>信用办</w:t>
            </w:r>
          </w:p>
        </w:tc>
        <w:tc>
          <w:tcPr>
            <w:tcW w:w="1980" w:type="dxa"/>
            <w:vMerge w:val="restart"/>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江苏省、浙江省、安徽省信用办</w:t>
            </w:r>
          </w:p>
        </w:tc>
        <w:tc>
          <w:tcPr>
            <w:tcW w:w="1458" w:type="dxa"/>
            <w:vMerge w:val="restart"/>
            <w:shd w:val="clear" w:color="auto" w:fill="auto"/>
            <w:vAlign w:val="center"/>
          </w:tcPr>
          <w:p>
            <w:pPr>
              <w:spacing w:line="260" w:lineRule="exact"/>
              <w:jc w:val="center"/>
              <w:rPr>
                <w:rFonts w:ascii="仿宋_GB2312" w:eastAsia="仿宋_GB2312"/>
                <w:sz w:val="24"/>
                <w:szCs w:val="24"/>
              </w:rPr>
            </w:pPr>
            <w:r>
              <w:rPr>
                <w:rFonts w:hint="eastAsia" w:ascii="仿宋_GB2312" w:eastAsia="仿宋_GB2312"/>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鼓励三省一市信用服务企业参与信用服务产业基地建设。</w:t>
            </w:r>
          </w:p>
        </w:tc>
        <w:tc>
          <w:tcPr>
            <w:tcW w:w="1701" w:type="dxa"/>
            <w:vMerge w:val="continue"/>
            <w:shd w:val="clear" w:color="auto" w:fill="auto"/>
            <w:vAlign w:val="center"/>
          </w:tcPr>
          <w:p>
            <w:pPr>
              <w:spacing w:line="260" w:lineRule="exact"/>
              <w:rPr>
                <w:rFonts w:ascii="仿宋_GB2312" w:eastAsia="仿宋_GB2312"/>
                <w:sz w:val="24"/>
                <w:szCs w:val="24"/>
              </w:rPr>
            </w:pPr>
          </w:p>
        </w:tc>
        <w:tc>
          <w:tcPr>
            <w:tcW w:w="1980" w:type="dxa"/>
            <w:vMerge w:val="continue"/>
            <w:shd w:val="clear" w:color="auto" w:fill="auto"/>
            <w:vAlign w:val="center"/>
          </w:tcPr>
          <w:p>
            <w:pPr>
              <w:spacing w:line="260" w:lineRule="exact"/>
              <w:rPr>
                <w:rFonts w:ascii="仿宋_GB2312" w:eastAsia="仿宋_GB2312"/>
                <w:sz w:val="24"/>
                <w:szCs w:val="24"/>
              </w:rPr>
            </w:pPr>
          </w:p>
        </w:tc>
        <w:tc>
          <w:tcPr>
            <w:tcW w:w="1458" w:type="dxa"/>
            <w:vMerge w:val="continue"/>
            <w:shd w:val="clear" w:color="auto" w:fill="auto"/>
            <w:vAlign w:val="center"/>
          </w:tcPr>
          <w:p>
            <w:pPr>
              <w:spacing w:line="2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shd w:val="clear" w:color="auto" w:fill="auto"/>
            <w:vAlign w:val="center"/>
          </w:tcPr>
          <w:p>
            <w:pPr>
              <w:spacing w:line="260" w:lineRule="exact"/>
              <w:jc w:val="center"/>
              <w:rPr>
                <w:rFonts w:ascii="仿宋_GB2312" w:eastAsia="仿宋_GB2312"/>
                <w:sz w:val="24"/>
                <w:szCs w:val="24"/>
              </w:rPr>
            </w:pPr>
          </w:p>
        </w:tc>
        <w:tc>
          <w:tcPr>
            <w:tcW w:w="1974" w:type="dxa"/>
            <w:vMerge w:val="continue"/>
            <w:shd w:val="clear" w:color="auto" w:fill="auto"/>
            <w:vAlign w:val="center"/>
          </w:tcPr>
          <w:p>
            <w:pPr>
              <w:spacing w:line="260" w:lineRule="exact"/>
              <w:rPr>
                <w:rFonts w:ascii="仿宋_GB2312" w:eastAsia="仿宋_GB2312"/>
                <w:sz w:val="24"/>
                <w:szCs w:val="24"/>
              </w:rPr>
            </w:pPr>
          </w:p>
        </w:tc>
        <w:tc>
          <w:tcPr>
            <w:tcW w:w="6237"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 xml:space="preserve">梳理分析三省一市信用服务分类情况。 </w:t>
            </w:r>
          </w:p>
        </w:tc>
        <w:tc>
          <w:tcPr>
            <w:tcW w:w="1701"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安徽省</w:t>
            </w:r>
            <w:r>
              <w:rPr>
                <w:rFonts w:ascii="仿宋_GB2312" w:eastAsia="仿宋_GB2312"/>
                <w:sz w:val="24"/>
                <w:szCs w:val="24"/>
              </w:rPr>
              <w:t>信用办</w:t>
            </w:r>
          </w:p>
        </w:tc>
        <w:tc>
          <w:tcPr>
            <w:tcW w:w="1980" w:type="dxa"/>
            <w:shd w:val="clear" w:color="auto" w:fill="auto"/>
            <w:vAlign w:val="center"/>
          </w:tcPr>
          <w:p>
            <w:pPr>
              <w:spacing w:line="260" w:lineRule="exact"/>
              <w:rPr>
                <w:rFonts w:ascii="仿宋_GB2312" w:eastAsia="仿宋_GB2312"/>
                <w:sz w:val="24"/>
                <w:szCs w:val="24"/>
              </w:rPr>
            </w:pPr>
            <w:r>
              <w:rPr>
                <w:rFonts w:hint="eastAsia" w:ascii="仿宋_GB2312" w:eastAsia="仿宋_GB2312"/>
                <w:sz w:val="24"/>
                <w:szCs w:val="24"/>
              </w:rPr>
              <w:t>上海市、江苏省</w:t>
            </w:r>
            <w:r>
              <w:rPr>
                <w:rFonts w:ascii="仿宋_GB2312" w:eastAsia="仿宋_GB2312"/>
                <w:sz w:val="24"/>
                <w:szCs w:val="24"/>
              </w:rPr>
              <w:t>、</w:t>
            </w:r>
            <w:r>
              <w:rPr>
                <w:rFonts w:hint="eastAsia" w:ascii="仿宋_GB2312" w:eastAsia="仿宋_GB2312"/>
                <w:sz w:val="24"/>
                <w:szCs w:val="24"/>
              </w:rPr>
              <w:t>浙江省信用办</w:t>
            </w:r>
          </w:p>
        </w:tc>
        <w:tc>
          <w:tcPr>
            <w:tcW w:w="1458" w:type="dxa"/>
            <w:shd w:val="clear" w:color="auto" w:fill="auto"/>
            <w:vAlign w:val="center"/>
          </w:tcPr>
          <w:p>
            <w:pPr>
              <w:spacing w:line="260" w:lineRule="exact"/>
              <w:jc w:val="center"/>
              <w:rPr>
                <w:rFonts w:hint="eastAsia" w:ascii="仿宋_GB2312" w:eastAsia="仿宋_GB2312"/>
                <w:sz w:val="24"/>
                <w:szCs w:val="24"/>
              </w:rPr>
            </w:pPr>
            <w:r>
              <w:rPr>
                <w:rFonts w:hint="eastAsia" w:ascii="仿宋_GB2312" w:eastAsia="仿宋_GB2312"/>
                <w:sz w:val="24"/>
                <w:szCs w:val="24"/>
              </w:rPr>
              <w:t>全年</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modern"/>
    <w:pitch w:val="default"/>
    <w:sig w:usb0="00000003"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altName w:val="宋体-方正超大字符集"/>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67316"/>
    <w:rsid w:val="11F6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2018-06-26T03:13:00Z</dcterms:created>
  <dc:creator>admin1</dc:creator>
  <cp:lastModifiedBy>admin1</cp:lastModifiedBy>
  <dcterms:modified xsi:type="dcterms:W3CDTF">2018-06-26T03:14:19Z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