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45"/>
        </w:tabs>
        <w:spacing w:line="560" w:lineRule="exact"/>
        <w:rPr>
          <w:rFonts w:ascii="仿宋_GB2312" w:eastAsia="仿宋_GB2312"/>
          <w:sz w:val="32"/>
          <w:szCs w:val="32"/>
        </w:rPr>
      </w:pPr>
      <w:r>
        <w:rPr>
          <w:rFonts w:hint="eastAsia" w:ascii="黑体" w:hAnsi="黑体" w:eastAsia="黑体" w:cs="方正小标宋_GBK"/>
          <w:kern w:val="36"/>
          <w:sz w:val="32"/>
          <w:szCs w:val="32"/>
        </w:rPr>
        <w:t>附件2</w:t>
      </w:r>
    </w:p>
    <w:p>
      <w:pPr>
        <w:tabs>
          <w:tab w:val="left" w:pos="7245"/>
        </w:tabs>
        <w:spacing w:line="560" w:lineRule="exact"/>
        <w:jc w:val="center"/>
        <w:rPr>
          <w:rFonts w:ascii="仿宋_GB2312" w:eastAsia="仿宋_GB2312"/>
          <w:sz w:val="36"/>
          <w:szCs w:val="36"/>
        </w:rPr>
      </w:pPr>
      <w:r>
        <w:rPr>
          <w:rFonts w:hint="eastAsia" w:ascii="方正小标宋简体" w:eastAsia="方正小标宋简体" w:cs="仿宋_GB2312"/>
          <w:color w:val="000000"/>
          <w:sz w:val="36"/>
          <w:szCs w:val="36"/>
        </w:rPr>
        <w:t>上海口岸数字化转型重点应用场景</w:t>
      </w:r>
    </w:p>
    <w:tbl>
      <w:tblPr>
        <w:tblStyle w:val="3"/>
        <w:tblW w:w="1216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984"/>
        <w:gridCol w:w="6096"/>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964" w:type="dxa"/>
            <w:vAlign w:val="center"/>
          </w:tcPr>
          <w:p>
            <w:pPr>
              <w:spacing w:line="360" w:lineRule="exact"/>
              <w:jc w:val="center"/>
              <w:rPr>
                <w:rFonts w:ascii="黑体" w:hAnsi="黑体" w:eastAsia="黑体"/>
                <w:bCs/>
                <w:sz w:val="28"/>
                <w:szCs w:val="28"/>
              </w:rPr>
            </w:pPr>
            <w:r>
              <w:rPr>
                <w:rFonts w:ascii="黑体" w:hAnsi="黑体" w:eastAsia="黑体"/>
                <w:bCs/>
                <w:sz w:val="28"/>
                <w:szCs w:val="28"/>
              </w:rPr>
              <w:t>序号</w:t>
            </w:r>
          </w:p>
        </w:tc>
        <w:tc>
          <w:tcPr>
            <w:tcW w:w="1984" w:type="dxa"/>
            <w:vAlign w:val="center"/>
          </w:tcPr>
          <w:p>
            <w:pPr>
              <w:spacing w:line="360" w:lineRule="exact"/>
              <w:jc w:val="center"/>
              <w:rPr>
                <w:rFonts w:ascii="黑体" w:hAnsi="黑体" w:eastAsia="黑体"/>
                <w:bCs/>
                <w:sz w:val="28"/>
                <w:szCs w:val="28"/>
              </w:rPr>
            </w:pPr>
            <w:r>
              <w:rPr>
                <w:rFonts w:hint="eastAsia" w:ascii="黑体" w:hAnsi="黑体" w:eastAsia="黑体"/>
                <w:bCs/>
                <w:sz w:val="28"/>
                <w:szCs w:val="28"/>
              </w:rPr>
              <w:t>重点应用场景</w:t>
            </w:r>
          </w:p>
        </w:tc>
        <w:tc>
          <w:tcPr>
            <w:tcW w:w="6096" w:type="dxa"/>
            <w:vAlign w:val="center"/>
          </w:tcPr>
          <w:p>
            <w:pPr>
              <w:spacing w:line="360" w:lineRule="exact"/>
              <w:jc w:val="center"/>
              <w:rPr>
                <w:rFonts w:ascii="黑体" w:hAnsi="黑体" w:eastAsia="黑体"/>
                <w:bCs/>
                <w:sz w:val="28"/>
                <w:szCs w:val="28"/>
              </w:rPr>
            </w:pPr>
            <w:r>
              <w:rPr>
                <w:rFonts w:hint="eastAsia" w:ascii="黑体" w:hAnsi="黑体" w:eastAsia="黑体"/>
                <w:bCs/>
                <w:sz w:val="28"/>
                <w:szCs w:val="28"/>
              </w:rPr>
              <w:t>主要内容</w:t>
            </w:r>
          </w:p>
        </w:tc>
        <w:tc>
          <w:tcPr>
            <w:tcW w:w="1417" w:type="dxa"/>
            <w:vAlign w:val="center"/>
          </w:tcPr>
          <w:p>
            <w:pPr>
              <w:spacing w:line="360" w:lineRule="exact"/>
              <w:jc w:val="center"/>
              <w:rPr>
                <w:rFonts w:ascii="黑体" w:hAnsi="黑体" w:eastAsia="黑体"/>
                <w:bCs/>
                <w:sz w:val="28"/>
                <w:szCs w:val="28"/>
              </w:rPr>
            </w:pPr>
            <w:r>
              <w:rPr>
                <w:rFonts w:hint="eastAsia" w:ascii="黑体" w:hAnsi="黑体" w:eastAsia="黑体"/>
                <w:bCs/>
                <w:sz w:val="28"/>
                <w:szCs w:val="28"/>
              </w:rPr>
              <w:t>责任单位</w:t>
            </w:r>
          </w:p>
        </w:tc>
        <w:tc>
          <w:tcPr>
            <w:tcW w:w="1701" w:type="dxa"/>
            <w:vAlign w:val="center"/>
          </w:tcPr>
          <w:p>
            <w:pPr>
              <w:spacing w:line="360" w:lineRule="exact"/>
              <w:jc w:val="center"/>
              <w:rPr>
                <w:rFonts w:ascii="黑体" w:hAnsi="黑体" w:eastAsia="黑体"/>
                <w:bCs/>
                <w:sz w:val="28"/>
                <w:szCs w:val="28"/>
              </w:rPr>
            </w:pPr>
            <w:r>
              <w:rPr>
                <w:rFonts w:hint="eastAsia" w:ascii="黑体" w:hAnsi="黑体" w:eastAsia="黑体"/>
                <w:bCs/>
                <w:sz w:val="28"/>
                <w:szCs w:val="28"/>
              </w:rPr>
              <w:t>配合</w:t>
            </w:r>
            <w:r>
              <w:rPr>
                <w:rFonts w:ascii="黑体" w:hAnsi="黑体" w:eastAsia="黑体"/>
                <w:bCs/>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964" w:type="dxa"/>
            <w:vAlign w:val="center"/>
          </w:tcPr>
          <w:p>
            <w:pPr>
              <w:spacing w:line="360" w:lineRule="exact"/>
              <w:jc w:val="center"/>
              <w:rPr>
                <w:rFonts w:eastAsia="仿宋_GB2312"/>
                <w:sz w:val="24"/>
                <w:szCs w:val="30"/>
              </w:rPr>
            </w:pPr>
            <w:r>
              <w:rPr>
                <w:rFonts w:hint="eastAsia" w:eastAsia="仿宋_GB2312"/>
                <w:sz w:val="24"/>
              </w:rPr>
              <w:t>1</w:t>
            </w:r>
          </w:p>
        </w:tc>
        <w:tc>
          <w:tcPr>
            <w:tcW w:w="1984" w:type="dxa"/>
            <w:vAlign w:val="center"/>
          </w:tcPr>
          <w:p>
            <w:pPr>
              <w:spacing w:line="360" w:lineRule="exact"/>
              <w:jc w:val="center"/>
              <w:rPr>
                <w:rFonts w:eastAsia="仿宋_GB2312"/>
                <w:sz w:val="24"/>
                <w:szCs w:val="30"/>
                <w:highlight w:val="yellow"/>
              </w:rPr>
            </w:pPr>
            <w:r>
              <w:rPr>
                <w:rFonts w:hint="eastAsia" w:eastAsia="仿宋_GB2312"/>
                <w:sz w:val="24"/>
                <w:szCs w:val="30"/>
              </w:rPr>
              <w:t>打造新一代上海国际贸易“单一窗口”</w:t>
            </w:r>
          </w:p>
        </w:tc>
        <w:tc>
          <w:tcPr>
            <w:tcW w:w="6096" w:type="dxa"/>
            <w:vAlign w:val="center"/>
          </w:tcPr>
          <w:p>
            <w:pPr>
              <w:spacing w:line="360" w:lineRule="exact"/>
              <w:jc w:val="center"/>
              <w:rPr>
                <w:rFonts w:eastAsia="仿宋_GB2312"/>
                <w:sz w:val="24"/>
                <w:szCs w:val="30"/>
                <w:highlight w:val="yellow"/>
              </w:rPr>
            </w:pPr>
            <w:r>
              <w:rPr>
                <w:rFonts w:hint="eastAsia" w:eastAsia="仿宋_GB2312"/>
                <w:sz w:val="24"/>
                <w:szCs w:val="30"/>
              </w:rPr>
              <w:t>依托</w:t>
            </w:r>
            <w:r>
              <w:rPr>
                <w:rFonts w:eastAsia="仿宋_GB2312"/>
                <w:sz w:val="24"/>
                <w:szCs w:val="30"/>
              </w:rPr>
              <w:t>上海国际贸易</w:t>
            </w:r>
            <w:r>
              <w:rPr>
                <w:rFonts w:hint="eastAsia" w:eastAsia="仿宋_GB2312"/>
                <w:sz w:val="24"/>
                <w:szCs w:val="30"/>
              </w:rPr>
              <w:t>“单一</w:t>
            </w:r>
            <w:r>
              <w:rPr>
                <w:rFonts w:eastAsia="仿宋_GB2312"/>
                <w:sz w:val="24"/>
                <w:szCs w:val="30"/>
              </w:rPr>
              <w:t>窗口</w:t>
            </w:r>
            <w:r>
              <w:rPr>
                <w:rFonts w:hint="eastAsia" w:eastAsia="仿宋_GB2312"/>
                <w:sz w:val="24"/>
                <w:szCs w:val="30"/>
              </w:rPr>
              <w:t>”，打造口岸大数据底座和基于云原生的开放共享平台；联通长三角区域，建设“单一窗口”内外贸一体的供应链、金融等多场景数字化特色功能，支持服务贸易、离岸贸易、数字贸易等新业态应用；优化完善“单一窗口”移动应用门户；通过构建态势感知与预警系统，结合口岸数字空间，构建协同化监管体系，形成应用全领域、功能全覆盖、数据全口径、流程全要素的，具备“管理+服务”的新一代国际贸易“单一窗口”，成为“十四五”期间“五型”口岸的关键基础设施。</w:t>
            </w:r>
          </w:p>
        </w:tc>
        <w:tc>
          <w:tcPr>
            <w:tcW w:w="1417" w:type="dxa"/>
            <w:vAlign w:val="center"/>
          </w:tcPr>
          <w:p>
            <w:pPr>
              <w:spacing w:line="360" w:lineRule="exact"/>
              <w:jc w:val="center"/>
              <w:rPr>
                <w:rFonts w:eastAsia="仿宋_GB2312"/>
                <w:sz w:val="24"/>
                <w:szCs w:val="30"/>
              </w:rPr>
            </w:pPr>
            <w:r>
              <w:rPr>
                <w:rFonts w:hint="eastAsia" w:eastAsia="仿宋_GB2312"/>
                <w:sz w:val="24"/>
                <w:szCs w:val="30"/>
              </w:rPr>
              <w:t>市商务委（市口岸办）</w:t>
            </w:r>
          </w:p>
        </w:tc>
        <w:tc>
          <w:tcPr>
            <w:tcW w:w="1701" w:type="dxa"/>
            <w:vAlign w:val="center"/>
          </w:tcPr>
          <w:p>
            <w:pPr>
              <w:spacing w:line="360" w:lineRule="exact"/>
              <w:jc w:val="center"/>
              <w:rPr>
                <w:rFonts w:eastAsia="仿宋_GB2312"/>
                <w:sz w:val="24"/>
                <w:szCs w:val="30"/>
              </w:rPr>
            </w:pPr>
            <w:r>
              <w:rPr>
                <w:rFonts w:hint="eastAsia" w:eastAsia="仿宋_GB2312"/>
                <w:sz w:val="24"/>
                <w:szCs w:val="30"/>
              </w:rPr>
              <w:t>市发展改革委、市经济信息化委、市交通委、上海海关、上海海事局、上海边检总站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4" w:type="dxa"/>
            <w:vAlign w:val="center"/>
          </w:tcPr>
          <w:p>
            <w:pPr>
              <w:spacing w:line="360" w:lineRule="exact"/>
              <w:jc w:val="center"/>
              <w:rPr>
                <w:rFonts w:eastAsia="仿宋_GB2312"/>
                <w:sz w:val="24"/>
                <w:szCs w:val="30"/>
              </w:rPr>
            </w:pPr>
            <w:r>
              <w:rPr>
                <w:rFonts w:hint="eastAsia" w:eastAsia="仿宋_GB2312"/>
                <w:sz w:val="24"/>
              </w:rPr>
              <w:t>2</w:t>
            </w:r>
          </w:p>
        </w:tc>
        <w:tc>
          <w:tcPr>
            <w:tcW w:w="1984" w:type="dxa"/>
            <w:vAlign w:val="center"/>
          </w:tcPr>
          <w:p>
            <w:pPr>
              <w:spacing w:line="360" w:lineRule="exact"/>
              <w:jc w:val="center"/>
              <w:rPr>
                <w:rFonts w:eastAsia="仿宋_GB2312"/>
                <w:sz w:val="24"/>
                <w:szCs w:val="30"/>
              </w:rPr>
            </w:pPr>
            <w:r>
              <w:rPr>
                <w:rFonts w:hint="eastAsia" w:eastAsia="仿宋_GB2312"/>
                <w:sz w:val="24"/>
                <w:szCs w:val="30"/>
              </w:rPr>
              <w:t>上海空港“无感通关”数字化智能应用</w:t>
            </w:r>
          </w:p>
        </w:tc>
        <w:tc>
          <w:tcPr>
            <w:tcW w:w="6096" w:type="dxa"/>
            <w:vAlign w:val="center"/>
          </w:tcPr>
          <w:p>
            <w:pPr>
              <w:spacing w:line="360" w:lineRule="exact"/>
              <w:jc w:val="center"/>
              <w:rPr>
                <w:rFonts w:eastAsia="仿宋_GB2312"/>
                <w:sz w:val="24"/>
                <w:szCs w:val="30"/>
              </w:rPr>
            </w:pPr>
            <w:r>
              <w:rPr>
                <w:rFonts w:hint="eastAsia" w:eastAsia="仿宋_GB2312"/>
                <w:sz w:val="24"/>
                <w:szCs w:val="30"/>
              </w:rPr>
              <w:t>上海海关自主开发智慧旅检项目，通过健康申明的电子申报、自动筛查和远程验核，以及口岸卫生检疫的采样数字化、全流程验核，并结合旅客行李先期机检、旅客身份信息电子化和人脸信息数字化等多重数据集成和综合数据应用，将口岸旅检现场长期纸质申报、人工验核、手工统计等劳动密集型作业转变为以集成信息为基础、数字监管为手段的“通关快、效果好、人力省”的数字化作业旅检现场，初步实现了绝大多数旅客“无感通关”的目标。</w:t>
            </w:r>
          </w:p>
        </w:tc>
        <w:tc>
          <w:tcPr>
            <w:tcW w:w="1417" w:type="dxa"/>
            <w:vAlign w:val="center"/>
          </w:tcPr>
          <w:p>
            <w:pPr>
              <w:spacing w:line="360" w:lineRule="exact"/>
              <w:jc w:val="center"/>
              <w:rPr>
                <w:rFonts w:eastAsia="仿宋_GB2312"/>
                <w:sz w:val="24"/>
                <w:szCs w:val="30"/>
              </w:rPr>
            </w:pPr>
            <w:r>
              <w:rPr>
                <w:rFonts w:hint="eastAsia" w:eastAsia="仿宋_GB2312"/>
                <w:sz w:val="24"/>
                <w:szCs w:val="30"/>
              </w:rPr>
              <w:t>上海海关</w:t>
            </w:r>
          </w:p>
        </w:tc>
        <w:tc>
          <w:tcPr>
            <w:tcW w:w="1701" w:type="dxa"/>
            <w:vAlign w:val="center"/>
          </w:tcPr>
          <w:p>
            <w:pPr>
              <w:spacing w:line="360" w:lineRule="exact"/>
              <w:jc w:val="center"/>
              <w:rPr>
                <w:rFonts w:eastAsia="仿宋_GB2312"/>
                <w:sz w:val="24"/>
                <w:szCs w:val="30"/>
              </w:rPr>
            </w:pPr>
            <w:r>
              <w:rPr>
                <w:rFonts w:hint="eastAsia" w:eastAsia="仿宋_GB2312"/>
                <w:sz w:val="24"/>
                <w:szCs w:val="30"/>
              </w:rPr>
              <w:t>机场集团、各航空公司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964" w:type="dxa"/>
            <w:vAlign w:val="center"/>
          </w:tcPr>
          <w:p>
            <w:pPr>
              <w:spacing w:line="360" w:lineRule="exact"/>
              <w:jc w:val="center"/>
              <w:rPr>
                <w:rFonts w:eastAsia="仿宋_GB2312"/>
                <w:sz w:val="24"/>
                <w:szCs w:val="30"/>
              </w:rPr>
            </w:pPr>
            <w:r>
              <w:rPr>
                <w:rFonts w:hint="eastAsia" w:eastAsia="仿宋_GB2312"/>
                <w:sz w:val="24"/>
              </w:rPr>
              <w:t>3</w:t>
            </w:r>
          </w:p>
        </w:tc>
        <w:tc>
          <w:tcPr>
            <w:tcW w:w="1984" w:type="dxa"/>
            <w:vAlign w:val="center"/>
          </w:tcPr>
          <w:p>
            <w:pPr>
              <w:spacing w:line="360" w:lineRule="exact"/>
              <w:jc w:val="center"/>
              <w:rPr>
                <w:rFonts w:eastAsia="仿宋_GB2312"/>
                <w:sz w:val="24"/>
                <w:szCs w:val="30"/>
              </w:rPr>
            </w:pPr>
            <w:r>
              <w:rPr>
                <w:rFonts w:hint="eastAsia" w:eastAsia="仿宋_GB2312"/>
                <w:sz w:val="24"/>
                <w:szCs w:val="30"/>
              </w:rPr>
              <w:t>进出港船舶大数据共享与智能应用</w:t>
            </w:r>
          </w:p>
        </w:tc>
        <w:tc>
          <w:tcPr>
            <w:tcW w:w="6096" w:type="dxa"/>
            <w:vAlign w:val="center"/>
          </w:tcPr>
          <w:p>
            <w:pPr>
              <w:spacing w:line="360" w:lineRule="exact"/>
              <w:jc w:val="center"/>
              <w:rPr>
                <w:rFonts w:eastAsia="仿宋_GB2312"/>
                <w:sz w:val="24"/>
                <w:szCs w:val="30"/>
              </w:rPr>
            </w:pPr>
            <w:r>
              <w:rPr>
                <w:rFonts w:hint="eastAsia" w:eastAsia="仿宋_GB2312"/>
                <w:sz w:val="24"/>
                <w:szCs w:val="30"/>
              </w:rPr>
              <w:t>打造船舶、贸易信息实时展示以及船员公共信息服务应用场景。以“数据互联互通、监管动静联动、信息综合支持”、“</w:t>
            </w:r>
            <w:r>
              <w:rPr>
                <w:rFonts w:eastAsia="仿宋_GB2312"/>
                <w:sz w:val="24"/>
                <w:szCs w:val="30"/>
              </w:rPr>
              <w:t>e-航海”助航服务、支撑海上供应链安全畅通、口岸高效通关为目标，依托船舶、船员、贸易、航路、港口等各类要素信息，在</w:t>
            </w:r>
            <w:r>
              <w:rPr>
                <w:rFonts w:hint="eastAsia" w:ascii="仿宋_GB2312" w:hAnsi="仿宋_GB2312" w:eastAsia="仿宋_GB2312" w:cs="仿宋_GB2312"/>
                <w:sz w:val="24"/>
                <w:szCs w:val="30"/>
              </w:rPr>
              <w:t>“十四五”</w:t>
            </w:r>
            <w:r>
              <w:rPr>
                <w:rFonts w:eastAsia="仿宋_GB2312"/>
                <w:sz w:val="24"/>
                <w:szCs w:val="30"/>
              </w:rPr>
              <w:t>期间，不断升级进出上海港的业务办理、安全预警、船货信息查询和跟踪、地理信息支撑、船舶导助航等服务，对上海港籍国际航行船舶首先试行并逐步拓展范围，建立起面向港口航运企业、船舶船员、贸易主体、港航口岸单位、社会公众等各类受众需求的信息共享与应用场景。</w:t>
            </w:r>
          </w:p>
        </w:tc>
        <w:tc>
          <w:tcPr>
            <w:tcW w:w="1417" w:type="dxa"/>
            <w:vAlign w:val="center"/>
          </w:tcPr>
          <w:p>
            <w:pPr>
              <w:spacing w:line="360" w:lineRule="exact"/>
              <w:jc w:val="center"/>
              <w:rPr>
                <w:rFonts w:eastAsia="仿宋_GB2312"/>
                <w:sz w:val="24"/>
                <w:szCs w:val="30"/>
              </w:rPr>
            </w:pPr>
            <w:r>
              <w:rPr>
                <w:rFonts w:hint="eastAsia" w:eastAsia="仿宋_GB2312"/>
                <w:sz w:val="24"/>
                <w:szCs w:val="30"/>
              </w:rPr>
              <w:t>上海海事局</w:t>
            </w:r>
          </w:p>
        </w:tc>
        <w:tc>
          <w:tcPr>
            <w:tcW w:w="1701" w:type="dxa"/>
            <w:vAlign w:val="center"/>
          </w:tcPr>
          <w:p>
            <w:pPr>
              <w:spacing w:line="360" w:lineRule="exact"/>
              <w:jc w:val="center"/>
              <w:rPr>
                <w:rFonts w:eastAsia="仿宋_GB2312"/>
                <w:sz w:val="24"/>
                <w:szCs w:val="30"/>
              </w:rPr>
            </w:pPr>
            <w:r>
              <w:rPr>
                <w:rFonts w:hint="eastAsia" w:eastAsia="仿宋_GB2312"/>
                <w:sz w:val="24"/>
                <w:szCs w:val="30"/>
              </w:rPr>
              <w:t>市商务委（市口岸办）、市交通委、上港集团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4" w:type="dxa"/>
            <w:vAlign w:val="center"/>
          </w:tcPr>
          <w:p>
            <w:pPr>
              <w:spacing w:line="360" w:lineRule="exact"/>
              <w:jc w:val="center"/>
              <w:rPr>
                <w:rFonts w:eastAsia="仿宋_GB2312"/>
                <w:sz w:val="24"/>
                <w:szCs w:val="30"/>
              </w:rPr>
            </w:pPr>
            <w:r>
              <w:rPr>
                <w:rFonts w:hint="eastAsia" w:eastAsia="仿宋_GB2312"/>
                <w:sz w:val="24"/>
                <w:szCs w:val="30"/>
              </w:rPr>
              <w:t>4</w:t>
            </w:r>
          </w:p>
        </w:tc>
        <w:tc>
          <w:tcPr>
            <w:tcW w:w="1984" w:type="dxa"/>
            <w:vAlign w:val="center"/>
          </w:tcPr>
          <w:p>
            <w:pPr>
              <w:spacing w:line="360" w:lineRule="exact"/>
              <w:jc w:val="center"/>
              <w:rPr>
                <w:rFonts w:eastAsia="仿宋_GB2312"/>
                <w:sz w:val="24"/>
                <w:szCs w:val="30"/>
              </w:rPr>
            </w:pPr>
            <w:r>
              <w:rPr>
                <w:rFonts w:hint="eastAsia" w:eastAsia="仿宋_GB2312"/>
                <w:sz w:val="24"/>
                <w:szCs w:val="30"/>
              </w:rPr>
              <w:t>边检一体化智能管理平台</w:t>
            </w:r>
          </w:p>
        </w:tc>
        <w:tc>
          <w:tcPr>
            <w:tcW w:w="6096" w:type="dxa"/>
            <w:vAlign w:val="center"/>
          </w:tcPr>
          <w:p>
            <w:pPr>
              <w:spacing w:line="360" w:lineRule="exact"/>
              <w:jc w:val="center"/>
              <w:rPr>
                <w:rFonts w:eastAsia="仿宋_GB2312"/>
                <w:sz w:val="24"/>
                <w:szCs w:val="30"/>
              </w:rPr>
            </w:pPr>
            <w:r>
              <w:rPr>
                <w:rFonts w:hint="eastAsia" w:eastAsia="仿宋_GB2312"/>
                <w:sz w:val="24"/>
                <w:szCs w:val="30"/>
              </w:rPr>
              <w:t>依托上海国际贸易“单一窗口”，打造边检智能应用场景，持续提升单一窗口边检申报管理水平，新增出境航班订票信息、货运航班载运货物种类等申报模块，提升边检部门对相关信息的掌控能力，推进实施精准化管控。结合上海口岸特点建立个性化数据模型，针对出入境（港）国际航行船舶的单一窗口申报信息、航线轨迹、船员构成、历史表现等维度特征值，结合水域雷达光电感知信息进行综合研判，打造全链条海上管控网络防线。依托单一窗口平台实现数据统筹推送，进一步优化港区卡口及船舶梯口的现场核验值守，切实加强登离轮人员的事前审核、事中监管和事后跟踪，强化船舶在港期间管理。</w:t>
            </w:r>
          </w:p>
        </w:tc>
        <w:tc>
          <w:tcPr>
            <w:tcW w:w="1417" w:type="dxa"/>
            <w:vAlign w:val="center"/>
          </w:tcPr>
          <w:p>
            <w:pPr>
              <w:spacing w:line="360" w:lineRule="exact"/>
              <w:jc w:val="center"/>
              <w:rPr>
                <w:rFonts w:eastAsia="仿宋_GB2312"/>
                <w:sz w:val="24"/>
                <w:szCs w:val="30"/>
              </w:rPr>
            </w:pPr>
            <w:r>
              <w:rPr>
                <w:rFonts w:hint="eastAsia" w:eastAsia="仿宋_GB2312"/>
                <w:sz w:val="24"/>
                <w:szCs w:val="30"/>
              </w:rPr>
              <w:t>上海</w:t>
            </w:r>
            <w:r>
              <w:rPr>
                <w:rFonts w:eastAsia="仿宋_GB2312"/>
                <w:sz w:val="24"/>
                <w:szCs w:val="30"/>
              </w:rPr>
              <w:t>边检总站</w:t>
            </w:r>
          </w:p>
        </w:tc>
        <w:tc>
          <w:tcPr>
            <w:tcW w:w="1701" w:type="dxa"/>
            <w:vAlign w:val="center"/>
          </w:tcPr>
          <w:p>
            <w:pPr>
              <w:spacing w:line="360" w:lineRule="exact"/>
              <w:jc w:val="center"/>
              <w:rPr>
                <w:rFonts w:eastAsia="仿宋_GB2312"/>
                <w:sz w:val="24"/>
                <w:szCs w:val="30"/>
              </w:rPr>
            </w:pPr>
            <w:r>
              <w:rPr>
                <w:rFonts w:hint="eastAsia" w:eastAsia="仿宋_GB2312"/>
                <w:sz w:val="24"/>
                <w:szCs w:val="30"/>
              </w:rPr>
              <w:t>市商务委（市口岸办）、上港</w:t>
            </w:r>
            <w:r>
              <w:rPr>
                <w:rFonts w:eastAsia="仿宋_GB2312"/>
                <w:sz w:val="24"/>
                <w:szCs w:val="30"/>
              </w:rPr>
              <w:t>集团、机场集团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964" w:type="dxa"/>
            <w:vAlign w:val="center"/>
          </w:tcPr>
          <w:p>
            <w:pPr>
              <w:spacing w:line="360" w:lineRule="exact"/>
              <w:jc w:val="center"/>
              <w:rPr>
                <w:rFonts w:eastAsia="仿宋_GB2312"/>
                <w:sz w:val="24"/>
                <w:szCs w:val="30"/>
              </w:rPr>
            </w:pPr>
            <w:r>
              <w:rPr>
                <w:rFonts w:hint="eastAsia" w:eastAsia="仿宋_GB2312"/>
                <w:sz w:val="24"/>
                <w:szCs w:val="30"/>
              </w:rPr>
              <w:t>5</w:t>
            </w:r>
          </w:p>
        </w:tc>
        <w:tc>
          <w:tcPr>
            <w:tcW w:w="1984" w:type="dxa"/>
            <w:vAlign w:val="center"/>
          </w:tcPr>
          <w:p>
            <w:pPr>
              <w:spacing w:line="360" w:lineRule="exact"/>
              <w:jc w:val="center"/>
              <w:rPr>
                <w:rFonts w:eastAsia="仿宋_GB2312"/>
                <w:sz w:val="24"/>
                <w:szCs w:val="30"/>
              </w:rPr>
            </w:pPr>
            <w:r>
              <w:rPr>
                <w:rFonts w:hint="eastAsia" w:eastAsia="仿宋_GB2312"/>
                <w:sz w:val="24"/>
                <w:szCs w:val="30"/>
              </w:rPr>
              <w:t>上港集团传统集装箱码头自动化改造创新性研究项目</w:t>
            </w:r>
          </w:p>
        </w:tc>
        <w:tc>
          <w:tcPr>
            <w:tcW w:w="6096" w:type="dxa"/>
            <w:vAlign w:val="center"/>
          </w:tcPr>
          <w:p>
            <w:pPr>
              <w:spacing w:line="360" w:lineRule="exact"/>
              <w:jc w:val="center"/>
              <w:rPr>
                <w:rFonts w:eastAsia="仿宋_GB2312"/>
                <w:sz w:val="24"/>
                <w:szCs w:val="30"/>
              </w:rPr>
            </w:pPr>
            <w:r>
              <w:rPr>
                <w:rFonts w:hint="eastAsia" w:eastAsia="仿宋_GB2312"/>
                <w:sz w:val="24"/>
                <w:szCs w:val="30"/>
              </w:rPr>
              <w:t>从“效率、安全、能耗、服务”角度出发，对外高桥港区进行改造升级，包括桥吊陆侧自动化、自动拆装锁钮机、</w:t>
            </w:r>
            <w:r>
              <w:rPr>
                <w:rFonts w:eastAsia="仿宋_GB2312"/>
                <w:sz w:val="24"/>
                <w:szCs w:val="30"/>
              </w:rPr>
              <w:t>RTG全自动、全域人工/自动混合作业管控和基于5G+北斗的无人驾驶水平运输设备（AIV）研发，实现自动驾驶集装箱运输车辆与自动化装卸设备的无缝衔接，达到减人增效及精细化管理的目的。</w:t>
            </w:r>
            <w:r>
              <w:rPr>
                <w:rFonts w:hint="eastAsia" w:eastAsia="仿宋_GB2312"/>
                <w:sz w:val="24"/>
                <w:szCs w:val="30"/>
              </w:rPr>
              <w:t>到“十四五”末，上港集团传统集装箱码头自动化改造创新性研究项目要实现进一步提升码头整体作业效率、提高作业安全、降低运营成本、提升作业安全和客户服务水平为目标，致力形成标准化可复制可推广的整体解决方案，实现不同效率、不同类别的人工驾驶与自动驾驶设备群在同一码头内自然、和谐、协同、高效的作业，并适时加快推进母港其他码头自动化、智能化改造。</w:t>
            </w:r>
          </w:p>
        </w:tc>
        <w:tc>
          <w:tcPr>
            <w:tcW w:w="1417" w:type="dxa"/>
            <w:vAlign w:val="center"/>
          </w:tcPr>
          <w:p>
            <w:pPr>
              <w:spacing w:line="360" w:lineRule="exact"/>
              <w:jc w:val="center"/>
              <w:rPr>
                <w:rFonts w:eastAsia="仿宋_GB2312"/>
                <w:sz w:val="24"/>
                <w:szCs w:val="30"/>
              </w:rPr>
            </w:pPr>
            <w:r>
              <w:rPr>
                <w:rFonts w:hint="eastAsia" w:eastAsia="仿宋_GB2312"/>
                <w:sz w:val="24"/>
                <w:szCs w:val="30"/>
              </w:rPr>
              <w:t>上港集团</w:t>
            </w:r>
          </w:p>
        </w:tc>
        <w:tc>
          <w:tcPr>
            <w:tcW w:w="1701" w:type="dxa"/>
            <w:vAlign w:val="center"/>
          </w:tcPr>
          <w:p>
            <w:pPr>
              <w:spacing w:line="360" w:lineRule="exact"/>
              <w:jc w:val="center"/>
              <w:rPr>
                <w:rFonts w:eastAsia="仿宋_GB2312"/>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964" w:type="dxa"/>
            <w:vAlign w:val="center"/>
          </w:tcPr>
          <w:p>
            <w:pPr>
              <w:spacing w:line="360" w:lineRule="exact"/>
              <w:jc w:val="center"/>
              <w:rPr>
                <w:rFonts w:eastAsia="仿宋_GB2312"/>
                <w:sz w:val="24"/>
                <w:szCs w:val="30"/>
              </w:rPr>
            </w:pPr>
            <w:r>
              <w:rPr>
                <w:rFonts w:hint="eastAsia" w:eastAsia="仿宋_GB2312"/>
                <w:sz w:val="24"/>
                <w:szCs w:val="30"/>
              </w:rPr>
              <w:t>6</w:t>
            </w:r>
          </w:p>
        </w:tc>
        <w:tc>
          <w:tcPr>
            <w:tcW w:w="1984" w:type="dxa"/>
            <w:vAlign w:val="center"/>
          </w:tcPr>
          <w:p>
            <w:pPr>
              <w:spacing w:line="360" w:lineRule="exact"/>
              <w:jc w:val="center"/>
              <w:rPr>
                <w:rFonts w:eastAsia="仿宋_GB2312"/>
                <w:sz w:val="24"/>
                <w:szCs w:val="30"/>
              </w:rPr>
            </w:pPr>
            <w:r>
              <w:rPr>
                <w:rFonts w:hint="eastAsia" w:eastAsia="仿宋_GB2312"/>
                <w:sz w:val="24"/>
                <w:szCs w:val="30"/>
              </w:rPr>
              <w:t>上海空运通平台：航空货运业务场景</w:t>
            </w:r>
          </w:p>
        </w:tc>
        <w:tc>
          <w:tcPr>
            <w:tcW w:w="6096" w:type="dxa"/>
            <w:vAlign w:val="center"/>
          </w:tcPr>
          <w:p>
            <w:pPr>
              <w:spacing w:line="360" w:lineRule="exact"/>
              <w:jc w:val="center"/>
              <w:rPr>
                <w:rFonts w:eastAsia="仿宋_GB2312"/>
                <w:sz w:val="24"/>
                <w:szCs w:val="30"/>
              </w:rPr>
            </w:pPr>
            <w:r>
              <w:rPr>
                <w:rFonts w:hint="eastAsia" w:eastAsia="仿宋_GB2312"/>
                <w:sz w:val="24"/>
                <w:szCs w:val="30"/>
              </w:rPr>
              <w:t>结合上海空港地区货运管理和海关监管职能，构建松耦合、可扩展的共用平台，提升上海空运口岸的整体时效，推动上海空运数字化、智慧化；平台包含货班协同、货运时效、园区运管三大模块，覆盖空侧、陆侧及全流程业务，贯通“端到端”货运全业务链路，形成上海空运口岸完整链条数字化运行的整体优势。</w:t>
            </w:r>
          </w:p>
        </w:tc>
        <w:tc>
          <w:tcPr>
            <w:tcW w:w="1417" w:type="dxa"/>
            <w:vAlign w:val="center"/>
          </w:tcPr>
          <w:p>
            <w:pPr>
              <w:spacing w:line="360" w:lineRule="exact"/>
              <w:jc w:val="center"/>
              <w:rPr>
                <w:rFonts w:eastAsia="仿宋_GB2312"/>
                <w:sz w:val="24"/>
                <w:szCs w:val="30"/>
              </w:rPr>
            </w:pPr>
            <w:r>
              <w:rPr>
                <w:rFonts w:hint="eastAsia" w:eastAsia="仿宋_GB2312"/>
                <w:sz w:val="24"/>
                <w:szCs w:val="30"/>
              </w:rPr>
              <w:t>上海机场集团航空物流公司</w:t>
            </w:r>
          </w:p>
        </w:tc>
        <w:tc>
          <w:tcPr>
            <w:tcW w:w="1701" w:type="dxa"/>
            <w:vAlign w:val="center"/>
          </w:tcPr>
          <w:p>
            <w:pPr>
              <w:spacing w:line="360" w:lineRule="exact"/>
              <w:jc w:val="center"/>
              <w:rPr>
                <w:rFonts w:eastAsia="仿宋_GB2312"/>
                <w:sz w:val="24"/>
                <w:szCs w:val="30"/>
              </w:rPr>
            </w:pPr>
            <w:r>
              <w:rPr>
                <w:rFonts w:hint="eastAsia" w:eastAsia="仿宋_GB2312"/>
                <w:sz w:val="24"/>
                <w:szCs w:val="30"/>
              </w:rPr>
              <w:t>上海海关、东航物流</w:t>
            </w:r>
          </w:p>
        </w:tc>
      </w:tr>
    </w:tbl>
    <w:p>
      <w:pPr>
        <w:tabs>
          <w:tab w:val="left" w:pos="7245"/>
        </w:tabs>
        <w:spacing w:line="560" w:lineRule="exact"/>
        <w:rPr>
          <w:rFonts w:ascii="仿宋_GB2312" w:eastAsia="仿宋_GB2312"/>
          <w:sz w:val="32"/>
          <w:szCs w:val="32"/>
        </w:rPr>
        <w:sectPr>
          <w:footerReference r:id="rId3" w:type="default"/>
          <w:pgSz w:w="16838" w:h="11906" w:orient="landscape"/>
          <w:pgMar w:top="1304" w:right="2098" w:bottom="1304" w:left="1985" w:header="851" w:footer="2041" w:gutter="0"/>
          <w:pgNumType w:fmt="numberInDash"/>
          <w:cols w:space="425" w:num="1"/>
          <w:docGrid w:type="lines" w:linePitch="312"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Fonts w:ascii="仿宋_GB2312" w:eastAsia="仿宋_GB2312"/>
        <w:sz w:val="28"/>
        <w:szCs w:val="28"/>
      </w:rPr>
    </w:pPr>
    <w:r>
      <w:rPr>
        <w:rStyle w:val="5"/>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Style w:val="5"/>
        <w:rFonts w:hint="eastAsia" w:ascii="仿宋_GB2312" w:eastAsia="仿宋_GB2312"/>
        <w:sz w:val="28"/>
        <w:szCs w:val="28"/>
      </w:rPr>
      <w:fldChar w:fldCharType="separate"/>
    </w:r>
    <w:r>
      <w:rPr>
        <w:rStyle w:val="5"/>
        <w:rFonts w:ascii="仿宋_GB2312" w:eastAsia="仿宋_GB2312"/>
        <w:sz w:val="28"/>
        <w:szCs w:val="28"/>
      </w:rPr>
      <w:t>- 18 -</w:t>
    </w:r>
    <w:r>
      <w:rPr>
        <w:rStyle w:val="5"/>
        <w:rFonts w:hint="eastAsia" w:ascii="仿宋_GB2312" w:eastAsia="仿宋_GB2312"/>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29A607F9"/>
    <w:rsid w:val="29A6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2022-11-21T08:33:00Z</dcterms:created>
  <dc:creator>Anne</dc:creator>
  <cp:lastModifiedBy>Anne</cp:lastModifiedBy>
  <dcterms:modified xsi:type="dcterms:W3CDTF">2022-11-21T08:33:36Z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B6016741B0EB49729FFD76127057661B</vt:lpwstr>
  </property>
</Properties>
</file>