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ascii="黑体" w:eastAsia="黑体"/>
          <w:szCs w:val="32"/>
        </w:rPr>
      </w:pPr>
      <w:bookmarkStart w:id="8" w:name="_GoBack"/>
      <w:bookmarkEnd w:id="8"/>
    </w:p>
    <w:p>
      <w:pPr>
        <w:overflowPunct w:val="0"/>
        <w:adjustRightInd w:val="0"/>
        <w:snapToGrid w:val="0"/>
        <w:spacing w:line="336" w:lineRule="auto"/>
        <w:rPr>
          <w:rFonts w:ascii="黑体" w:eastAsia="黑体"/>
          <w:szCs w:val="32"/>
        </w:rPr>
      </w:pPr>
    </w:p>
    <w:p>
      <w:pPr>
        <w:overflowPunct w:val="0"/>
        <w:adjustRightInd w:val="0"/>
        <w:snapToGrid w:val="0"/>
        <w:spacing w:line="336" w:lineRule="auto"/>
        <w:rPr>
          <w:rFonts w:ascii="黑体" w:eastAsia="黑体"/>
          <w:szCs w:val="32"/>
        </w:rPr>
      </w:pPr>
    </w:p>
    <w:p>
      <w:pPr>
        <w:overflowPunct w:val="0"/>
        <w:adjustRightInd w:val="0"/>
        <w:snapToGrid w:val="0"/>
        <w:spacing w:line="100" w:lineRule="exact"/>
        <w:rPr>
          <w:rFonts w:ascii="黑体" w:eastAsia="黑体"/>
          <w:szCs w:val="32"/>
        </w:rPr>
      </w:pPr>
    </w:p>
    <w:p>
      <w:pPr>
        <w:overflowPunct w:val="0"/>
        <w:adjustRightInd w:val="0"/>
        <w:snapToGrid w:val="0"/>
        <w:ind w:left="-57"/>
        <w:jc w:val="center"/>
        <w:rPr>
          <w:rFonts w:ascii="方正小标宋简体" w:hAnsi="宋体" w:eastAsia="方正小标宋简体"/>
          <w:color w:val="FF0000"/>
          <w:sz w:val="72"/>
          <w:szCs w:val="72"/>
        </w:rPr>
      </w:pPr>
      <w:r>
        <w:rPr>
          <w:rFonts w:hint="eastAsia" w:ascii="方正小标宋简体" w:hAnsi="宋体" w:eastAsia="方正小标宋简体"/>
          <w:color w:val="FF0000"/>
          <w:sz w:val="72"/>
          <w:szCs w:val="72"/>
        </w:rPr>
        <w:t>上海市市场监督管理局文件</w:t>
      </w: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336" w:lineRule="auto"/>
        <w:jc w:val="center"/>
        <w:rPr>
          <w:szCs w:val="32"/>
        </w:rPr>
      </w:pPr>
      <w:r>
        <w:rPr>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IDoLA1AAAAAYB&#10;AAAPAAAAAAAAAAEAIAAAADgAAABkcnMvZG93bnJldi54bWxQSwECFAAUAAAACACHTuJA+imuJNAB&#10;AACRAwAADgAAAAAAAAABACAAAAA5AQAAZHJzL2Uyb0RvYy54bWxQSwUGAAAAAAYABgBZAQAAewUA&#10;AAAA&#10;">
                <v:fill on="f" focussize="0,0"/>
                <v:stroke weight="1.5pt" color="#FF0000" joinstyle="round"/>
                <v:imagedata o:title=""/>
                <o:lock v:ext="edit" aspectratio="f"/>
                <w10:anchorlock/>
              </v:line>
            </w:pict>
          </mc:Fallback>
        </mc:AlternateContent>
      </w:r>
      <w:r>
        <w:rPr>
          <w:rFonts w:hint="eastAsia"/>
          <w:szCs w:val="32"/>
        </w:rPr>
        <w:t>沪市监规范〔202</w:t>
      </w:r>
      <w:r>
        <w:rPr>
          <w:szCs w:val="32"/>
        </w:rPr>
        <w:t>2</w:t>
      </w:r>
      <w:r>
        <w:rPr>
          <w:rFonts w:hint="eastAsia"/>
          <w:szCs w:val="32"/>
        </w:rPr>
        <w:t>〕15号</w:t>
      </w: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上海市市场监督管理局关于发布</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《上海市即食蔬果生产许可审查细则》的通知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rPr>
          <w:rFonts w:hAnsi="宋体"/>
          <w:szCs w:val="30"/>
        </w:rPr>
      </w:pPr>
      <w:r>
        <w:rPr>
          <w:rFonts w:hint="eastAsia" w:hAnsi="宋体"/>
          <w:szCs w:val="30"/>
        </w:rPr>
        <w:t>各区市场监管局，临港新片区市场监管局，市局行政服务中心：</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《上海市即食蔬果生产许可审查细则》已经2022年6月29日市局局长办公会审议通过，现予发布，自2022年8月18日起施行，请遵照执行。</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特此通知。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right="941" w:firstLine="624"/>
        <w:jc w:val="right"/>
        <w:rPr>
          <w:rFonts w:hAnsi="宋体"/>
          <w:szCs w:val="30"/>
        </w:rPr>
      </w:pPr>
      <w:r>
        <w:rPr>
          <w:rFonts w:hint="eastAsia" w:hAnsi="宋体"/>
          <w:szCs w:val="30"/>
        </w:rPr>
        <w:t>上海市市场监督管理局</w:t>
      </w:r>
    </w:p>
    <w:p>
      <w:pPr>
        <w:tabs>
          <w:tab w:val="left" w:pos="790"/>
          <w:tab w:val="left" w:pos="1264"/>
        </w:tabs>
        <w:overflowPunct w:val="0"/>
        <w:adjustRightInd w:val="0"/>
        <w:snapToGrid w:val="0"/>
        <w:spacing w:line="288" w:lineRule="auto"/>
        <w:ind w:right="1247" w:firstLine="624"/>
        <w:jc w:val="right"/>
        <w:rPr>
          <w:rFonts w:hAnsi="宋体"/>
          <w:szCs w:val="30"/>
        </w:rPr>
      </w:pPr>
      <w:r>
        <w:rPr>
          <w:rFonts w:hint="eastAsia" w:hAnsi="宋体"/>
          <w:szCs w:val="30"/>
        </w:rPr>
        <w:t>2022年7月14日</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（此件公开发布）</w:t>
      </w: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上海市即食蔬果生产许可审查细则</w:t>
      </w:r>
    </w:p>
    <w:p>
      <w:pPr>
        <w:tabs>
          <w:tab w:val="left" w:pos="790"/>
          <w:tab w:val="left" w:pos="1264"/>
        </w:tabs>
        <w:overflowPunct w:val="0"/>
        <w:adjustRightInd w:val="0"/>
        <w:snapToGrid w:val="0"/>
        <w:spacing w:line="346" w:lineRule="auto"/>
        <w:ind w:firstLine="624"/>
        <w:rPr>
          <w:rFonts w:hAnsi="宋体"/>
          <w:szCs w:val="30"/>
        </w:rPr>
      </w:pPr>
    </w:p>
    <w:p>
      <w:pPr>
        <w:tabs>
          <w:tab w:val="left" w:pos="790"/>
          <w:tab w:val="left" w:pos="1264"/>
        </w:tabs>
        <w:overflowPunct w:val="0"/>
        <w:adjustRightInd w:val="0"/>
        <w:snapToGrid w:val="0"/>
        <w:spacing w:after="120" w:line="346" w:lineRule="auto"/>
        <w:jc w:val="center"/>
        <w:rPr>
          <w:rFonts w:ascii="方正小标宋简体" w:hAnsi="宋体" w:eastAsia="方正小标宋简体"/>
          <w:sz w:val="36"/>
          <w:szCs w:val="36"/>
        </w:rPr>
      </w:pPr>
      <w:bookmarkStart w:id="0" w:name="_Toc83971196"/>
      <w:r>
        <w:rPr>
          <w:rFonts w:hint="eastAsia" w:ascii="方正小标宋简体" w:hAnsi="宋体" w:eastAsia="方正小标宋简体"/>
          <w:sz w:val="36"/>
          <w:szCs w:val="36"/>
        </w:rPr>
        <w:t>第一章　总　则</w:t>
      </w:r>
      <w:bookmarkEnd w:id="0"/>
    </w:p>
    <w:p>
      <w:pPr>
        <w:tabs>
          <w:tab w:val="left" w:pos="790"/>
          <w:tab w:val="left" w:pos="1264"/>
        </w:tabs>
        <w:overflowPunct w:val="0"/>
        <w:adjustRightInd w:val="0"/>
        <w:snapToGrid w:val="0"/>
        <w:spacing w:line="346" w:lineRule="auto"/>
        <w:ind w:firstLine="624"/>
        <w:rPr>
          <w:rFonts w:hAnsi="宋体"/>
          <w:szCs w:val="30"/>
        </w:rPr>
      </w:pPr>
      <w:r>
        <w:rPr>
          <w:rFonts w:hint="eastAsia" w:ascii="黑体" w:hAnsi="黑体" w:eastAsia="黑体" w:cs="黑体"/>
          <w:szCs w:val="30"/>
        </w:rPr>
        <w:t>第一条</w:t>
      </w:r>
      <w:r>
        <w:rPr>
          <w:rFonts w:hint="eastAsia" w:hAnsi="宋体"/>
          <w:szCs w:val="30"/>
        </w:rPr>
        <w:t>　本细则适用于即食蔬果生产许可审查。细则中所称的即食蔬果，是指以新鲜的蔬菜、水果为原料，经预处理、清洗、切分或不切分、消毒、漂洗、去除表面水、密封包装等工艺，保持新鲜状态，经冷链配送的可直接入口产品，包括含与其隔离的、预包装沙拉酱等直接入口酱汁的组合包装产品。</w:t>
      </w:r>
    </w:p>
    <w:p>
      <w:pPr>
        <w:tabs>
          <w:tab w:val="left" w:pos="790"/>
          <w:tab w:val="left" w:pos="1264"/>
        </w:tabs>
        <w:overflowPunct w:val="0"/>
        <w:adjustRightInd w:val="0"/>
        <w:snapToGrid w:val="0"/>
        <w:spacing w:line="346" w:lineRule="auto"/>
        <w:ind w:firstLine="624"/>
        <w:rPr>
          <w:rFonts w:hAnsi="宋体"/>
          <w:szCs w:val="30"/>
        </w:rPr>
      </w:pPr>
      <w:r>
        <w:rPr>
          <w:rFonts w:hint="eastAsia" w:ascii="黑体" w:hAnsi="黑体" w:eastAsia="黑体" w:cs="黑体"/>
          <w:szCs w:val="30"/>
        </w:rPr>
        <w:t>第二条</w:t>
      </w:r>
      <w:r>
        <w:rPr>
          <w:rFonts w:hint="eastAsia" w:hAnsi="宋体"/>
          <w:szCs w:val="30"/>
        </w:rPr>
        <w:t>　即食蔬果的申证类别为其他食品，类别编号为3101，其类别名称为：其他食品，品种明细为：其他食品（即食蔬果）。</w:t>
      </w:r>
    </w:p>
    <w:p>
      <w:pPr>
        <w:tabs>
          <w:tab w:val="left" w:pos="790"/>
          <w:tab w:val="left" w:pos="1264"/>
        </w:tabs>
        <w:overflowPunct w:val="0"/>
        <w:adjustRightInd w:val="0"/>
        <w:snapToGrid w:val="0"/>
        <w:spacing w:line="346" w:lineRule="auto"/>
        <w:ind w:firstLine="624"/>
        <w:rPr>
          <w:rFonts w:hAnsi="宋体"/>
          <w:szCs w:val="30"/>
        </w:rPr>
      </w:pPr>
      <w:r>
        <w:rPr>
          <w:rFonts w:hint="eastAsia" w:hAnsi="宋体"/>
          <w:szCs w:val="30"/>
        </w:rPr>
        <w:t>本产品不得分装。</w:t>
      </w:r>
    </w:p>
    <w:p>
      <w:pPr>
        <w:tabs>
          <w:tab w:val="left" w:pos="790"/>
          <w:tab w:val="left" w:pos="1264"/>
        </w:tabs>
        <w:overflowPunct w:val="0"/>
        <w:adjustRightInd w:val="0"/>
        <w:snapToGrid w:val="0"/>
        <w:spacing w:line="346" w:lineRule="auto"/>
        <w:ind w:firstLine="624"/>
        <w:rPr>
          <w:rFonts w:hAnsi="宋体"/>
          <w:szCs w:val="30"/>
        </w:rPr>
      </w:pPr>
      <w:r>
        <w:rPr>
          <w:rFonts w:hint="eastAsia" w:ascii="黑体" w:hAnsi="黑体" w:eastAsia="黑体" w:cs="黑体"/>
          <w:szCs w:val="30"/>
        </w:rPr>
        <w:t>第三条</w:t>
      </w:r>
      <w:r>
        <w:rPr>
          <w:rFonts w:hint="eastAsia" w:hAnsi="宋体"/>
          <w:szCs w:val="30"/>
        </w:rPr>
        <w:t>　本细则中引用的文件、标准通过引用成为本细则的内容的，凡是引用文件、标准，其最新版本（包括所有的修改单）适用于本细则。</w:t>
      </w:r>
    </w:p>
    <w:p>
      <w:pPr>
        <w:tabs>
          <w:tab w:val="left" w:pos="790"/>
          <w:tab w:val="left" w:pos="1264"/>
        </w:tabs>
        <w:overflowPunct w:val="0"/>
        <w:adjustRightInd w:val="0"/>
        <w:snapToGrid w:val="0"/>
        <w:spacing w:line="346" w:lineRule="auto"/>
        <w:ind w:firstLine="624"/>
        <w:rPr>
          <w:rFonts w:hAnsi="宋体"/>
          <w:szCs w:val="30"/>
        </w:rPr>
      </w:pPr>
    </w:p>
    <w:p>
      <w:pPr>
        <w:tabs>
          <w:tab w:val="left" w:pos="790"/>
          <w:tab w:val="left" w:pos="1264"/>
        </w:tabs>
        <w:overflowPunct w:val="0"/>
        <w:adjustRightInd w:val="0"/>
        <w:snapToGrid w:val="0"/>
        <w:spacing w:after="120" w:line="346" w:lineRule="auto"/>
        <w:jc w:val="center"/>
        <w:rPr>
          <w:rFonts w:ascii="方正小标宋简体" w:hAnsi="宋体" w:eastAsia="方正小标宋简体"/>
          <w:sz w:val="36"/>
          <w:szCs w:val="36"/>
        </w:rPr>
      </w:pPr>
      <w:bookmarkStart w:id="1" w:name="_Toc83971197"/>
      <w:r>
        <w:rPr>
          <w:rFonts w:hint="eastAsia" w:ascii="方正小标宋简体" w:hAnsi="宋体" w:eastAsia="方正小标宋简体"/>
          <w:sz w:val="36"/>
          <w:szCs w:val="36"/>
        </w:rPr>
        <w:t>第二章　生产场所</w:t>
      </w:r>
      <w:bookmarkEnd w:id="1"/>
    </w:p>
    <w:p>
      <w:pPr>
        <w:tabs>
          <w:tab w:val="left" w:pos="790"/>
          <w:tab w:val="left" w:pos="1264"/>
        </w:tabs>
        <w:overflowPunct w:val="0"/>
        <w:adjustRightInd w:val="0"/>
        <w:snapToGrid w:val="0"/>
        <w:spacing w:line="346" w:lineRule="auto"/>
        <w:ind w:firstLine="624"/>
        <w:rPr>
          <w:rFonts w:hAnsi="宋体"/>
          <w:szCs w:val="30"/>
        </w:rPr>
      </w:pPr>
      <w:r>
        <w:rPr>
          <w:rFonts w:hint="eastAsia" w:ascii="黑体" w:hAnsi="黑体" w:eastAsia="黑体" w:cs="黑体"/>
          <w:szCs w:val="30"/>
        </w:rPr>
        <w:t>第四条</w:t>
      </w:r>
      <w:r>
        <w:rPr>
          <w:rFonts w:hint="eastAsia" w:hAnsi="宋体"/>
          <w:szCs w:val="30"/>
        </w:rPr>
        <w:t>　生产场所选址、厂区布局、厂区道路、车间和库房应符合《食品生产许可审查通则》生产场所相关规定。</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第五条</w:t>
      </w:r>
      <w:r>
        <w:rPr>
          <w:rFonts w:hint="eastAsia" w:hAnsi="宋体"/>
          <w:szCs w:val="30"/>
        </w:rPr>
        <w:t>　生产场所面积应不少于2000平方米，包括清洗、加工、包装、库房等场所，其中，清洗、加工、包装场所面积不少于1000平方米。检验室面积不包括在生产场所面积内。</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第六条</w:t>
      </w:r>
      <w:r>
        <w:rPr>
          <w:rFonts w:hint="eastAsia" w:hAnsi="宋体"/>
          <w:szCs w:val="30"/>
        </w:rPr>
        <w:t>　生产场所根据清洁度分为：一般作业区（仓储区、预处理区等）、准清洁作业区（挑拣区、清洗区、蔬菜切分区、水果消毒区、水果漂洗区、外包装区等）、清洁作业区（水果切分区、蔬菜消毒区、蔬菜漂洗区、内包装区等）。</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各区之间应根据生产流程、生产操作需要和清洁度的要求采取有效隔离措施，防止交叉污染。</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第七条</w:t>
      </w:r>
      <w:r>
        <w:rPr>
          <w:rFonts w:hint="eastAsia" w:hAnsi="宋体"/>
          <w:szCs w:val="30"/>
        </w:rPr>
        <w:t>　原料库和成品库应有温度控制设备设施。原料库应根据原料特性选择储存温度，需要冷藏的原料储存温度应不高于10℃，成品库应不高于5℃。</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bookmarkStart w:id="2" w:name="_Toc83971198"/>
      <w:r>
        <w:rPr>
          <w:rFonts w:hint="eastAsia" w:ascii="方正小标宋简体" w:hAnsi="宋体" w:eastAsia="方正小标宋简体"/>
          <w:sz w:val="36"/>
          <w:szCs w:val="36"/>
        </w:rPr>
        <w:t>第三章　设备设施</w:t>
      </w:r>
      <w:bookmarkEnd w:id="2"/>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第八条</w:t>
      </w:r>
      <w:r>
        <w:rPr>
          <w:rFonts w:hint="eastAsia" w:hAnsi="宋体"/>
          <w:szCs w:val="30"/>
        </w:rPr>
        <w:t>　供排水、清洁消毒、废弃物存放、个人卫生、通风、照明、温控、检验设施应符合《食品生产许可审查通则》中设备设施的相关规定。</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第九条</w:t>
      </w:r>
      <w:r>
        <w:rPr>
          <w:rFonts w:hint="eastAsia" w:hAnsi="宋体"/>
          <w:szCs w:val="30"/>
        </w:rPr>
        <w:t>　生产设备根据实际工艺需要配备，一般包括：原料清洗消毒设备（不锈钢水槽、清洗机等）、切分设备（切块机、去皮机、切菜机等）、去除表面水设备（甩干机、离心机等）、包装设备（半自动或自动包装机等）。</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第十条</w:t>
      </w:r>
      <w:r>
        <w:rPr>
          <w:rFonts w:hint="eastAsia" w:hAnsi="宋体"/>
          <w:szCs w:val="30"/>
        </w:rPr>
        <w:t>　生产车间应配备臭氧等环境消毒设施。</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第十一条</w:t>
      </w:r>
      <w:r>
        <w:rPr>
          <w:rFonts w:hint="eastAsia" w:hAnsi="宋体"/>
          <w:szCs w:val="30"/>
        </w:rPr>
        <w:t>　清洁作业区内应设置洗手和消毒设施，供员工定时洗手和消毒。企业应对清洁作业区空气进行过滤净化处理，应配备空气过滤装置并定期清洁，采取初效、中效过滤，每小时换气不少于10次，并有自动监控设备设施。</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第十二条</w:t>
      </w:r>
      <w:r>
        <w:rPr>
          <w:rFonts w:hint="eastAsia" w:hAnsi="宋体"/>
          <w:szCs w:val="30"/>
        </w:rPr>
        <w:t>　清洗消毒设施应保证用水水温应不高于5℃。</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第十三条</w:t>
      </w:r>
      <w:r>
        <w:rPr>
          <w:rFonts w:hint="eastAsia" w:hAnsi="宋体"/>
          <w:szCs w:val="30"/>
        </w:rPr>
        <w:t>　生产车间和仓储区应配备温控设施，必要时配备湿度控制设施，并按照规定校准和维护。</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预处理区内应根据产品属性和生产需求选择车间温度，需要冷藏储存的温度不高于10℃；准清洁作业区温度不高于10℃；清洁作业区温度不高于5℃，并有温度监测和自动记录设备设施。</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bookmarkStart w:id="3" w:name="_Toc83971199"/>
      <w:r>
        <w:rPr>
          <w:rFonts w:hint="eastAsia" w:ascii="方正小标宋简体" w:hAnsi="宋体" w:eastAsia="方正小标宋简体"/>
          <w:sz w:val="36"/>
          <w:szCs w:val="36"/>
        </w:rPr>
        <w:t>第四章　设备布局和工艺流程</w:t>
      </w:r>
      <w:bookmarkEnd w:id="3"/>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第十四条</w:t>
      </w:r>
      <w:r>
        <w:rPr>
          <w:rFonts w:hint="eastAsia" w:hAnsi="宋体"/>
          <w:szCs w:val="30"/>
        </w:rPr>
        <w:t>　应符合《食品生产许可审查通则》中相关规定要求。</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第十五条</w:t>
      </w:r>
      <w:r>
        <w:rPr>
          <w:rFonts w:hint="eastAsia" w:hAnsi="宋体"/>
          <w:szCs w:val="30"/>
        </w:rPr>
        <w:t>　生产设备的配备应与产品生产工艺相符，即食蔬果基本生产工艺和设备见附件1。若采用不同于附件1所列生产工艺的，应配备与生产工艺相适应的生产设备。</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第十六条</w:t>
      </w:r>
      <w:r>
        <w:rPr>
          <w:rFonts w:hint="eastAsia" w:hAnsi="宋体"/>
          <w:szCs w:val="30"/>
        </w:rPr>
        <w:t>　应通过危害分析方法明确影响产品质量的关键工艺或关键点，例如：清洗消毒、去除表面水等，并对其实施质量控制。</w:t>
      </w:r>
      <w:bookmarkStart w:id="4" w:name="_Toc83971200"/>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第五章　人员管理</w:t>
      </w:r>
      <w:bookmarkEnd w:id="4"/>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第十七条</w:t>
      </w:r>
      <w:r>
        <w:rPr>
          <w:rFonts w:hint="eastAsia" w:hAnsi="宋体"/>
          <w:szCs w:val="30"/>
        </w:rPr>
        <w:t>　应符合《食品生产许可审查通则》中人员管理的相关规定。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第十八条</w:t>
      </w:r>
      <w:r>
        <w:rPr>
          <w:rFonts w:hint="eastAsia" w:hAnsi="宋体"/>
          <w:szCs w:val="30"/>
        </w:rPr>
        <w:t>　应对本单位从业人员进行上岗前和在岗期间的食品安全知识培训，并建立培训档案。应对食品安全管理人员、关键环节操作人员及其他相关从业人员进行考核，考核合格后方能上岗。</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bookmarkStart w:id="5" w:name="_Toc83971201"/>
      <w:r>
        <w:rPr>
          <w:rFonts w:hint="eastAsia" w:ascii="方正小标宋简体" w:hAnsi="宋体" w:eastAsia="方正小标宋简体"/>
          <w:sz w:val="36"/>
          <w:szCs w:val="36"/>
        </w:rPr>
        <w:t>第六章　管理制度</w:t>
      </w:r>
      <w:bookmarkEnd w:id="5"/>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第十九条</w:t>
      </w:r>
      <w:r>
        <w:rPr>
          <w:rFonts w:hint="eastAsia" w:hAnsi="宋体"/>
          <w:szCs w:val="30"/>
        </w:rPr>
        <w:t>　应符合《食品生产许可审查通则》中管理制度的相关规定。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第二十条</w:t>
      </w:r>
      <w:r>
        <w:rPr>
          <w:rFonts w:hint="eastAsia" w:hAnsi="宋体"/>
          <w:szCs w:val="30"/>
        </w:rPr>
        <w:t>　应依据《食品安全国家标准食品生产通用卫生规范》（GB14881）附录A，制定原料检验、环境监测、过程监控和产品检验要求，详见附件2。</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第二十一条</w:t>
      </w:r>
      <w:r>
        <w:rPr>
          <w:rFonts w:hint="eastAsia" w:hAnsi="宋体"/>
          <w:szCs w:val="30"/>
        </w:rPr>
        <w:t>　应建立清洁消毒制度，制定清洁消毒程序，以保证即食蔬果加工场所、设备和设施等清洁卫生，防止产品污染。</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第二十二条</w:t>
      </w:r>
      <w:r>
        <w:rPr>
          <w:rFonts w:hint="eastAsia" w:hAnsi="宋体"/>
          <w:szCs w:val="30"/>
        </w:rPr>
        <w:t>　应建立主要原料供应商检查评价制度，定期或者随机对主要原料和食品供应商的食品安全状况进行检查评价，并做好记录。检查评价记录保存期限不得少于二年。</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可自行或委托第三方机构对主要原料和食品供应商的食品安全状况进行实地查验。发现存在严重食品安全问题的，应立即停止采购，并向本企业、主要原料和食品供应商所在地的食品监管部门报告。</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第二十三条</w:t>
      </w:r>
      <w:r>
        <w:rPr>
          <w:rFonts w:hint="eastAsia" w:hAnsi="宋体"/>
          <w:szCs w:val="30"/>
        </w:rPr>
        <w:t>　应建立冷链运行管理制度。明确原料、成品贮存的温度监控和记录要求、冷藏设备定期维护要求、食品冷链运输的温度监控和记录要求，与第三方物流签订运输协议的，应明确查验第三方物流冷链资质要求，明确相关责任及保障食品安全的措施要求，并附运输协议。明确食品销售方建立冷藏销售的要求。</w:t>
      </w:r>
    </w:p>
    <w:p>
      <w:pPr>
        <w:tabs>
          <w:tab w:val="left" w:pos="790"/>
          <w:tab w:val="left" w:pos="1264"/>
        </w:tabs>
        <w:overflowPunct w:val="0"/>
        <w:adjustRightInd w:val="0"/>
        <w:snapToGrid w:val="0"/>
        <w:spacing w:line="341" w:lineRule="auto"/>
        <w:ind w:firstLine="624"/>
        <w:rPr>
          <w:rFonts w:hAnsi="宋体"/>
          <w:szCs w:val="30"/>
        </w:rPr>
      </w:pPr>
      <w:r>
        <w:rPr>
          <w:rFonts w:hint="eastAsia" w:hAnsi="宋体"/>
          <w:szCs w:val="30"/>
        </w:rPr>
        <w:t>运输应采取全程冷链形式，冷藏车内温度应不高于5℃，并有全程记录。</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第二十四条</w:t>
      </w:r>
      <w:r>
        <w:rPr>
          <w:rFonts w:hint="eastAsia" w:hAnsi="宋体"/>
          <w:szCs w:val="30"/>
        </w:rPr>
        <w:t>　应建立食品安全追溯管理制度，确保对食品从原料采购到成品销售的所有环节都可进行有效追溯。鼓励企业采用信息技术手段，进行记录和文件管理。</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bookmarkStart w:id="6" w:name="_Toc83971202"/>
      <w:r>
        <w:rPr>
          <w:rFonts w:hint="eastAsia" w:ascii="方正小标宋简体" w:hAnsi="宋体" w:eastAsia="方正小标宋简体"/>
          <w:sz w:val="36"/>
          <w:szCs w:val="36"/>
        </w:rPr>
        <w:t>第七章　试制产品检验合格报告</w:t>
      </w:r>
      <w:bookmarkEnd w:id="6"/>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第二十五条</w:t>
      </w:r>
      <w:r>
        <w:rPr>
          <w:rFonts w:hint="eastAsia" w:hAnsi="宋体"/>
          <w:szCs w:val="30"/>
        </w:rPr>
        <w:t>　应按所申报的即食蔬果，提供试制食品的由生产者自行检验或有资质食品检验机构检验合格报告，对提供的检验报告真实性负责；检验项目按产品适用的食品安全国家标准、产品标准、企业标准等要求进行。</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第二十六条</w:t>
      </w:r>
      <w:r>
        <w:rPr>
          <w:rFonts w:hint="eastAsia" w:hAnsi="宋体"/>
          <w:szCs w:val="30"/>
        </w:rPr>
        <w:t>　出厂检验项目应包括感官、标签、净含量、菌落总数、大肠菌群等。企业可以使用快速检测方法及设备进行产品检验，但应保证检测结果准确。使用的快速检测方法及设备做出厂检验时，应定期与国家标准规定的检验方法进行对比或者验证。快速检测结果不合格时，应使用食品安全国家标准规定的检验方法进行确认。</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after="120" w:line="341" w:lineRule="auto"/>
        <w:jc w:val="center"/>
        <w:rPr>
          <w:rFonts w:ascii="方正小标宋简体" w:hAnsi="宋体" w:eastAsia="方正小标宋简体"/>
          <w:sz w:val="36"/>
          <w:szCs w:val="36"/>
        </w:rPr>
      </w:pPr>
      <w:bookmarkStart w:id="7" w:name="_Toc83971203"/>
      <w:r>
        <w:rPr>
          <w:rFonts w:hint="eastAsia" w:ascii="方正小标宋简体" w:hAnsi="宋体" w:eastAsia="方正小标宋简体"/>
          <w:sz w:val="36"/>
          <w:szCs w:val="36"/>
        </w:rPr>
        <w:t>第八章　附　则</w:t>
      </w:r>
      <w:bookmarkEnd w:id="7"/>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第二十七条</w:t>
      </w:r>
      <w:r>
        <w:rPr>
          <w:rFonts w:hint="eastAsia" w:hAnsi="宋体"/>
          <w:szCs w:val="30"/>
        </w:rPr>
        <w:t>　本细则仅适用于上海市即食蔬果生产企业，不包括现场制售行为。</w:t>
      </w:r>
    </w:p>
    <w:p>
      <w:pPr>
        <w:tabs>
          <w:tab w:val="left" w:pos="790"/>
          <w:tab w:val="left" w:pos="1264"/>
        </w:tabs>
        <w:overflowPunct w:val="0"/>
        <w:adjustRightInd w:val="0"/>
        <w:snapToGrid w:val="0"/>
        <w:spacing w:line="341" w:lineRule="auto"/>
        <w:ind w:firstLine="624"/>
        <w:rPr>
          <w:rFonts w:hAnsi="宋体"/>
          <w:szCs w:val="30"/>
        </w:rPr>
      </w:pPr>
      <w:r>
        <w:rPr>
          <w:rFonts w:hint="eastAsia" w:ascii="黑体" w:hAnsi="黑体" w:eastAsia="黑体" w:cs="黑体"/>
          <w:szCs w:val="30"/>
        </w:rPr>
        <w:t>第二十八条</w:t>
      </w:r>
      <w:r>
        <w:rPr>
          <w:rFonts w:hint="eastAsia" w:hAnsi="宋体"/>
          <w:szCs w:val="30"/>
        </w:rPr>
        <w:t>　本细则自2022年8月18日起施行，有效期至2027年8月17日。原上海市食品药品监督管理局发布的《即食蔬果生产许可审查细则》（沪食药监规〔2017〕9号）同时废止。</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spacing w:line="341" w:lineRule="auto"/>
        <w:ind w:left="1939" w:hanging="1315"/>
        <w:rPr>
          <w:rFonts w:hAnsi="宋体"/>
          <w:szCs w:val="30"/>
        </w:rPr>
      </w:pPr>
      <w:r>
        <w:rPr>
          <w:rFonts w:hint="eastAsia" w:hAnsi="宋体"/>
          <w:szCs w:val="30"/>
        </w:rPr>
        <w:t>附件：1．即食水果基本生产工艺和设备、即食蔬菜基本生产工艺和设备</w:t>
      </w:r>
    </w:p>
    <w:p>
      <w:pPr>
        <w:tabs>
          <w:tab w:val="left" w:pos="790"/>
          <w:tab w:val="left" w:pos="1264"/>
          <w:tab w:val="left" w:pos="1575"/>
          <w:tab w:val="left" w:pos="1890"/>
        </w:tabs>
        <w:overflowPunct w:val="0"/>
        <w:adjustRightInd w:val="0"/>
        <w:snapToGrid w:val="0"/>
        <w:spacing w:line="341" w:lineRule="auto"/>
        <w:ind w:left="1973" w:hanging="442"/>
        <w:rPr>
          <w:rFonts w:hAnsi="宋体"/>
          <w:szCs w:val="30"/>
        </w:rPr>
      </w:pPr>
      <w:r>
        <w:rPr>
          <w:rFonts w:hint="eastAsia" w:hAnsi="宋体"/>
          <w:szCs w:val="30"/>
        </w:rPr>
        <w:t>2．即食蔬果生产企业原料检验、环境监测、过程监控和产品检验要求</w:t>
      </w:r>
    </w:p>
    <w:p>
      <w:pPr>
        <w:tabs>
          <w:tab w:val="left" w:pos="790"/>
          <w:tab w:val="left" w:pos="1264"/>
        </w:tabs>
        <w:overflowPunct w:val="0"/>
        <w:adjustRightInd w:val="0"/>
        <w:snapToGrid w:val="0"/>
        <w:spacing w:line="341" w:lineRule="auto"/>
        <w:ind w:firstLine="624"/>
        <w:rPr>
          <w:rFonts w:hAnsi="宋体"/>
          <w:szCs w:val="30"/>
        </w:rPr>
      </w:pPr>
    </w:p>
    <w:p>
      <w:pPr>
        <w:tabs>
          <w:tab w:val="left" w:pos="790"/>
          <w:tab w:val="left" w:pos="1264"/>
          <w:tab w:val="left" w:pos="1890"/>
        </w:tabs>
        <w:overflowPunct w:val="0"/>
        <w:adjustRightInd w:val="0"/>
        <w:snapToGrid w:val="0"/>
        <w:spacing w:line="341" w:lineRule="auto"/>
        <w:ind w:firstLine="624"/>
        <w:rPr>
          <w:rFonts w:hAnsi="宋体"/>
          <w:szCs w:val="30"/>
        </w:rPr>
      </w:pPr>
    </w:p>
    <w:p>
      <w:pPr>
        <w:tabs>
          <w:tab w:val="left" w:pos="790"/>
          <w:tab w:val="left" w:pos="1264"/>
          <w:tab w:val="left" w:pos="1890"/>
        </w:tabs>
        <w:overflowPunct w:val="0"/>
        <w:adjustRightInd w:val="0"/>
        <w:snapToGrid w:val="0"/>
        <w:spacing w:line="341" w:lineRule="auto"/>
        <w:ind w:firstLine="624"/>
        <w:rPr>
          <w:rFonts w:hAnsi="宋体"/>
          <w:szCs w:val="30"/>
        </w:rPr>
      </w:pPr>
    </w:p>
    <w:p>
      <w:pPr>
        <w:tabs>
          <w:tab w:val="left" w:pos="790"/>
          <w:tab w:val="left" w:pos="1264"/>
          <w:tab w:val="left" w:pos="1890"/>
        </w:tabs>
        <w:overflowPunct w:val="0"/>
        <w:adjustRightInd w:val="0"/>
        <w:snapToGrid w:val="0"/>
        <w:spacing w:line="341" w:lineRule="auto"/>
        <w:ind w:firstLine="624"/>
        <w:rPr>
          <w:rFonts w:hAnsi="宋体"/>
          <w:szCs w:val="30"/>
        </w:rPr>
      </w:pPr>
    </w:p>
    <w:p>
      <w:pPr>
        <w:tabs>
          <w:tab w:val="left" w:pos="790"/>
          <w:tab w:val="left" w:pos="1264"/>
          <w:tab w:val="left" w:pos="1890"/>
        </w:tabs>
        <w:overflowPunct w:val="0"/>
        <w:adjustRightInd w:val="0"/>
        <w:snapToGrid w:val="0"/>
        <w:spacing w:line="341" w:lineRule="auto"/>
        <w:ind w:firstLine="624"/>
        <w:rPr>
          <w:rFonts w:hAnsi="宋体"/>
          <w:szCs w:val="30"/>
        </w:rPr>
      </w:pP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附件1</w:t>
      </w:r>
    </w:p>
    <w:p>
      <w:pPr>
        <w:overflowPunct w:val="0"/>
        <w:adjustRightInd w:val="0"/>
        <w:snapToGrid w:val="0"/>
        <w:spacing w:line="336" w:lineRule="auto"/>
        <w:rPr>
          <w:szCs w:val="30"/>
        </w:rPr>
      </w:pPr>
    </w:p>
    <w:p>
      <w:pPr>
        <w:tabs>
          <w:tab w:val="left" w:pos="790"/>
        </w:tabs>
        <w:overflowPunct w:val="0"/>
        <w:adjustRightInd w:val="0"/>
        <w:snapToGrid w:val="0"/>
        <w:ind w:left="227"/>
        <w:jc w:val="center"/>
        <w:rPr>
          <w:rFonts w:ascii="方正小标宋简体" w:hAnsi="宋体" w:eastAsia="方正小标宋简体"/>
          <w:sz w:val="44"/>
          <w:szCs w:val="44"/>
        </w:rPr>
      </w:pPr>
      <w:r>
        <w:rPr>
          <w:rFonts w:hint="eastAsia" w:ascii="方正小标宋简体" w:hAnsi="宋体" w:eastAsia="方正小标宋简体"/>
          <w:sz w:val="44"/>
          <w:szCs w:val="44"/>
        </w:rPr>
        <w:t>即食水果基本生产工艺和设备、</w:t>
      </w: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即食蔬菜基本生产工艺和设备</w:t>
      </w:r>
    </w:p>
    <w:p>
      <w:pPr>
        <w:overflowPunct w:val="0"/>
        <w:adjustRightInd w:val="0"/>
        <w:snapToGrid w:val="0"/>
        <w:spacing w:line="336" w:lineRule="auto"/>
        <w:rPr>
          <w:szCs w:val="30"/>
        </w:rPr>
      </w:pPr>
    </w:p>
    <w:p>
      <w:pPr>
        <w:overflowPunct w:val="0"/>
        <w:adjustRightInd w:val="0"/>
        <w:snapToGrid w:val="0"/>
        <w:spacing w:after="120" w:line="336" w:lineRule="auto"/>
        <w:jc w:val="center"/>
        <w:rPr>
          <w:rFonts w:ascii="黑体" w:hAnsi="黑体" w:eastAsia="黑体" w:cs="黑体"/>
          <w:sz w:val="36"/>
          <w:szCs w:val="36"/>
        </w:rPr>
      </w:pPr>
      <w:r>
        <w:rPr>
          <w:rFonts w:hint="eastAsia" w:ascii="黑体" w:hAnsi="黑体" w:eastAsia="黑体" w:cs="黑体"/>
          <w:sz w:val="36"/>
          <w:szCs w:val="36"/>
        </w:rPr>
        <w:t>即食水果基本生产工艺和设备</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65"/>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序号</w:t>
            </w:r>
          </w:p>
        </w:tc>
        <w:tc>
          <w:tcPr>
            <w:tcW w:w="2665"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基本生产工艺</w:t>
            </w:r>
          </w:p>
        </w:tc>
        <w:tc>
          <w:tcPr>
            <w:tcW w:w="5329"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1</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预处理</w:t>
            </w:r>
          </w:p>
        </w:tc>
        <w:tc>
          <w:tcPr>
            <w:tcW w:w="5329" w:type="dxa"/>
            <w:tcBorders>
              <w:tl2br w:val="nil"/>
              <w:tr2bl w:val="nil"/>
            </w:tcBorders>
            <w:noWrap/>
            <w:vAlign w:val="center"/>
          </w:tcPr>
          <w:p>
            <w:pPr>
              <w:adjustRightInd w:val="0"/>
              <w:snapToGrid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2</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清洗</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不锈钢水槽、清洗机等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3</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消毒漂洗</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不锈钢水槽、清洗机等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4</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切分</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切块机、去皮机、切菜机等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5</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（护色）</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（不锈钢水槽、喷淋设备等）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6</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去除表面水</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甩干机、离心机、风干机、沥水设备等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7</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包装</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半自动或自动包装机等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8</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成品金属异物检测</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金属探测仪或X-光质量检测仪</w:t>
            </w:r>
          </w:p>
        </w:tc>
      </w:tr>
    </w:tbl>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after="120" w:line="336" w:lineRule="auto"/>
        <w:jc w:val="center"/>
        <w:rPr>
          <w:rFonts w:ascii="黑体" w:hAnsi="黑体" w:eastAsia="黑体" w:cs="黑体"/>
          <w:sz w:val="36"/>
          <w:szCs w:val="36"/>
        </w:rPr>
      </w:pPr>
      <w:r>
        <w:rPr>
          <w:rFonts w:hint="eastAsia" w:ascii="黑体" w:hAnsi="黑体" w:eastAsia="黑体" w:cs="黑体"/>
          <w:sz w:val="36"/>
          <w:szCs w:val="36"/>
        </w:rPr>
        <w:t>即食蔬菜基本生产工艺和设备</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65"/>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序号</w:t>
            </w:r>
          </w:p>
        </w:tc>
        <w:tc>
          <w:tcPr>
            <w:tcW w:w="2665"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基本生产工艺</w:t>
            </w:r>
          </w:p>
        </w:tc>
        <w:tc>
          <w:tcPr>
            <w:tcW w:w="5329" w:type="dxa"/>
            <w:tcBorders>
              <w:tl2br w:val="nil"/>
              <w:tr2bl w:val="nil"/>
            </w:tcBorders>
            <w:noWrap/>
            <w:vAlign w:val="center"/>
          </w:tcPr>
          <w:p>
            <w:pPr>
              <w:adjustRightInd w:val="0"/>
              <w:snapToGrid w:val="0"/>
              <w:jc w:val="center"/>
              <w:rPr>
                <w:rFonts w:ascii="黑体" w:hAnsi="黑体" w:eastAsia="黑体" w:cs="黑体"/>
                <w:color w:val="000000"/>
                <w:sz w:val="28"/>
                <w:szCs w:val="28"/>
              </w:rPr>
            </w:pPr>
            <w:r>
              <w:rPr>
                <w:rFonts w:hint="eastAsia" w:ascii="黑体" w:hAnsi="黑体" w:eastAsia="黑体" w:cs="黑体"/>
                <w:color w:val="000000"/>
                <w:sz w:val="28"/>
                <w:szCs w:val="28"/>
              </w:rPr>
              <w:t>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1</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预处理</w:t>
            </w:r>
          </w:p>
        </w:tc>
        <w:tc>
          <w:tcPr>
            <w:tcW w:w="5329" w:type="dxa"/>
            <w:tcBorders>
              <w:tl2br w:val="nil"/>
              <w:tr2bl w:val="nil"/>
            </w:tcBorders>
            <w:noWrap/>
            <w:vAlign w:val="center"/>
          </w:tcPr>
          <w:p>
            <w:pPr>
              <w:adjustRightInd w:val="0"/>
              <w:snapToGrid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2</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清洗</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不锈钢水槽、清洗机等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3</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切分</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切块机、去皮机、切菜机等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4</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消毒漂洗</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不锈钢水槽、清洗机等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5</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（护色）</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（不锈钢水槽、喷淋设备等）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6</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去除表面水</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甩干机、离心机、风干机、沥水设备等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7</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包装</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半自动或自动包装机等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50"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8</w:t>
            </w:r>
          </w:p>
        </w:tc>
        <w:tc>
          <w:tcPr>
            <w:tcW w:w="2665"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成品金属异物检测</w:t>
            </w:r>
          </w:p>
        </w:tc>
        <w:tc>
          <w:tcPr>
            <w:tcW w:w="5329" w:type="dxa"/>
            <w:tcBorders>
              <w:tl2br w:val="nil"/>
              <w:tr2bl w:val="nil"/>
            </w:tcBorders>
            <w:noWrap/>
            <w:vAlign w:val="center"/>
          </w:tcPr>
          <w:p>
            <w:pPr>
              <w:adjustRightInd w:val="0"/>
              <w:snapToGrid w:val="0"/>
              <w:jc w:val="center"/>
              <w:rPr>
                <w:color w:val="000000"/>
                <w:sz w:val="28"/>
                <w:szCs w:val="28"/>
              </w:rPr>
            </w:pPr>
            <w:r>
              <w:rPr>
                <w:rFonts w:hint="eastAsia"/>
                <w:color w:val="000000"/>
                <w:sz w:val="28"/>
                <w:szCs w:val="28"/>
              </w:rPr>
              <w:t>金属探测仪或X-光质量检测仪</w:t>
            </w:r>
          </w:p>
        </w:tc>
      </w:tr>
    </w:tbl>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附件2</w:t>
      </w:r>
    </w:p>
    <w:p>
      <w:pPr>
        <w:overflowPunct w:val="0"/>
        <w:adjustRightInd w:val="0"/>
        <w:snapToGrid w:val="0"/>
        <w:spacing w:line="336" w:lineRule="auto"/>
        <w:rPr>
          <w:szCs w:val="30"/>
        </w:rPr>
      </w:pPr>
    </w:p>
    <w:p>
      <w:pPr>
        <w:tabs>
          <w:tab w:val="left" w:pos="790"/>
        </w:tabs>
        <w:overflowPunct w:val="0"/>
        <w:adjustRightInd w:val="0"/>
        <w:snapToGrid w:val="0"/>
        <w:spacing w:line="560" w:lineRule="exact"/>
        <w:ind w:left="227"/>
        <w:jc w:val="center"/>
        <w:rPr>
          <w:rFonts w:ascii="方正小标宋简体" w:hAnsi="宋体" w:eastAsia="方正小标宋简体"/>
          <w:sz w:val="44"/>
          <w:szCs w:val="44"/>
        </w:rPr>
      </w:pPr>
      <w:r>
        <w:rPr>
          <w:rFonts w:hint="eastAsia" w:ascii="方正小标宋简体" w:hAnsi="宋体" w:eastAsia="方正小标宋简体"/>
          <w:sz w:val="44"/>
          <w:szCs w:val="44"/>
        </w:rPr>
        <w:t>即食蔬果生产企业原料检验、环境监测、</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过程监控和产品检验要求</w:t>
      </w:r>
    </w:p>
    <w:p>
      <w:pPr>
        <w:overflowPunct w:val="0"/>
        <w:adjustRightInd w:val="0"/>
        <w:snapToGrid w:val="0"/>
        <w:spacing w:line="336" w:lineRule="auto"/>
        <w:rPr>
          <w:szCs w:val="30"/>
        </w:rPr>
      </w:pP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010"/>
        <w:gridCol w:w="1995"/>
        <w:gridCol w:w="207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2814" w:type="dxa"/>
            <w:gridSpan w:val="2"/>
            <w:tcBorders>
              <w:tl2br w:val="nil"/>
              <w:tr2bl w:val="nil"/>
            </w:tcBorders>
            <w:noWrap/>
            <w:vAlign w:val="center"/>
          </w:tcPr>
          <w:p>
            <w:pPr>
              <w:adjustRightInd w:val="0"/>
              <w:snapToGrid w:val="0"/>
              <w:jc w:val="center"/>
              <w:rPr>
                <w:rFonts w:ascii="黑体" w:hAnsi="黑体" w:eastAsia="黑体" w:cs="黑体"/>
                <w:color w:val="000000"/>
                <w:sz w:val="24"/>
                <w:szCs w:val="24"/>
              </w:rPr>
            </w:pPr>
            <w:r>
              <w:rPr>
                <w:rFonts w:hint="eastAsia" w:ascii="黑体" w:hAnsi="黑体" w:eastAsia="黑体" w:cs="黑体"/>
                <w:color w:val="000000"/>
                <w:sz w:val="24"/>
                <w:szCs w:val="24"/>
              </w:rPr>
              <w:t>监控项目</w:t>
            </w:r>
          </w:p>
        </w:tc>
        <w:tc>
          <w:tcPr>
            <w:tcW w:w="1995" w:type="dxa"/>
            <w:tcBorders>
              <w:tl2br w:val="nil"/>
              <w:tr2bl w:val="nil"/>
            </w:tcBorders>
            <w:noWrap/>
            <w:vAlign w:val="center"/>
          </w:tcPr>
          <w:p>
            <w:pPr>
              <w:adjustRightInd w:val="0"/>
              <w:snapToGrid w:val="0"/>
              <w:jc w:val="center"/>
              <w:rPr>
                <w:rFonts w:ascii="黑体" w:hAnsi="黑体" w:eastAsia="黑体" w:cs="黑体"/>
                <w:color w:val="000000"/>
                <w:sz w:val="24"/>
                <w:szCs w:val="24"/>
              </w:rPr>
            </w:pPr>
            <w:r>
              <w:rPr>
                <w:rFonts w:hint="eastAsia" w:ascii="黑体" w:hAnsi="黑体" w:eastAsia="黑体" w:cs="黑体"/>
                <w:color w:val="000000"/>
                <w:sz w:val="24"/>
                <w:szCs w:val="24"/>
              </w:rPr>
              <w:t>监控指标</w:t>
            </w:r>
          </w:p>
        </w:tc>
        <w:tc>
          <w:tcPr>
            <w:tcW w:w="2070" w:type="dxa"/>
            <w:tcBorders>
              <w:tl2br w:val="nil"/>
              <w:tr2bl w:val="nil"/>
            </w:tcBorders>
            <w:noWrap/>
            <w:vAlign w:val="center"/>
          </w:tcPr>
          <w:p>
            <w:pPr>
              <w:adjustRightInd w:val="0"/>
              <w:snapToGrid w:val="0"/>
              <w:jc w:val="center"/>
              <w:rPr>
                <w:rFonts w:ascii="黑体" w:hAnsi="黑体" w:eastAsia="黑体" w:cs="黑体"/>
                <w:color w:val="000000"/>
                <w:sz w:val="24"/>
                <w:szCs w:val="24"/>
              </w:rPr>
            </w:pPr>
            <w:r>
              <w:rPr>
                <w:rFonts w:hint="eastAsia" w:ascii="黑体" w:hAnsi="黑体" w:eastAsia="黑体" w:cs="黑体"/>
                <w:color w:val="000000"/>
                <w:sz w:val="24"/>
                <w:szCs w:val="24"/>
              </w:rPr>
              <w:t>监控指标限值</w:t>
            </w:r>
          </w:p>
        </w:tc>
        <w:tc>
          <w:tcPr>
            <w:tcW w:w="1965" w:type="dxa"/>
            <w:tcBorders>
              <w:tl2br w:val="nil"/>
              <w:tr2bl w:val="nil"/>
            </w:tcBorders>
            <w:noWrap/>
            <w:vAlign w:val="center"/>
          </w:tcPr>
          <w:p>
            <w:pPr>
              <w:adjustRightInd w:val="0"/>
              <w:snapToGrid w:val="0"/>
              <w:jc w:val="center"/>
              <w:rPr>
                <w:rFonts w:ascii="黑体" w:hAnsi="黑体" w:eastAsia="黑体" w:cs="黑体"/>
                <w:color w:val="000000"/>
                <w:sz w:val="24"/>
                <w:szCs w:val="24"/>
              </w:rPr>
            </w:pPr>
            <w:r>
              <w:rPr>
                <w:rFonts w:hint="eastAsia" w:ascii="黑体" w:hAnsi="黑体" w:eastAsia="黑体" w:cs="黑体"/>
                <w:color w:val="000000"/>
                <w:sz w:val="24"/>
                <w:szCs w:val="24"/>
              </w:rPr>
              <w:t>监控频率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原料检验</w:t>
            </w: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蔬果</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农残（有机磷、氨基甲酸酯类）</w:t>
            </w:r>
          </w:p>
        </w:tc>
        <w:tc>
          <w:tcPr>
            <w:tcW w:w="207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阴性</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批发采购的每批次产品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restart"/>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环境监测</w:t>
            </w: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水质</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菌落总数、大肠菌群、余氯</w:t>
            </w:r>
          </w:p>
        </w:tc>
        <w:tc>
          <w:tcPr>
            <w:tcW w:w="207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GB 5749</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各个区域每周不得少于1次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食品接触表面</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菌落总数、大肠菌群等</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结合生产实际情况确定监控指标限值</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验证清洁效果应在清洁消毒之后，其他每月不少于1次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与食品或食品接触表面邻近的接触表面</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菌落总数、大肠菌群等卫生状况指示微生物，必要时监控致病菌</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结合生产实际情况确定监控指标限值</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每周不少于1次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加工区域内的环境空气</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菌落总数等</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结合生产实际情况确定监控指标限值</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每周不少于1次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restart"/>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过程监控</w:t>
            </w:r>
          </w:p>
        </w:tc>
        <w:tc>
          <w:tcPr>
            <w:tcW w:w="201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生产车间环境温度</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温度</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符合本细则的要求</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成品储存间温度</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温度</w:t>
            </w:r>
          </w:p>
        </w:tc>
        <w:tc>
          <w:tcPr>
            <w:tcW w:w="207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≤5℃</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清洗消毒用水</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温度</w:t>
            </w:r>
          </w:p>
        </w:tc>
        <w:tc>
          <w:tcPr>
            <w:tcW w:w="207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≤5℃</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每4小时1次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restart"/>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产品检验</w:t>
            </w:r>
          </w:p>
        </w:tc>
        <w:tc>
          <w:tcPr>
            <w:tcW w:w="2010" w:type="dxa"/>
            <w:vMerge w:val="restart"/>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成品</w:t>
            </w: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感官</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参照产品执行标准</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标签</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参照产品执行标准</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净含量</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参照产品执行标准</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菌落总数</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参照产品执行标准</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大肠菌群</w:t>
            </w:r>
          </w:p>
        </w:tc>
        <w:tc>
          <w:tcPr>
            <w:tcW w:w="2070" w:type="dxa"/>
            <w:tcBorders>
              <w:tl2br w:val="nil"/>
              <w:tr2bl w:val="nil"/>
            </w:tcBorders>
            <w:noWrap/>
            <w:vAlign w:val="center"/>
          </w:tcPr>
          <w:p>
            <w:pPr>
              <w:adjustRightInd w:val="0"/>
              <w:snapToGrid w:val="0"/>
              <w:ind w:left="-57" w:right="-57"/>
              <w:jc w:val="center"/>
              <w:rPr>
                <w:rFonts w:hAnsi="仿宋_GB2312" w:cs="仿宋_GB2312"/>
                <w:color w:val="000000"/>
                <w:sz w:val="24"/>
                <w:szCs w:val="24"/>
              </w:rPr>
            </w:pPr>
            <w:r>
              <w:rPr>
                <w:rFonts w:hint="eastAsia" w:hAnsi="仿宋_GB2312" w:cs="仿宋_GB2312"/>
                <w:color w:val="000000"/>
                <w:sz w:val="24"/>
                <w:szCs w:val="24"/>
              </w:rPr>
              <w:t>参照产品执行标准</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804"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2010" w:type="dxa"/>
            <w:vMerge w:val="continue"/>
            <w:tcBorders>
              <w:tl2br w:val="nil"/>
              <w:tr2bl w:val="nil"/>
            </w:tcBorders>
            <w:noWrap/>
            <w:vAlign w:val="center"/>
          </w:tcPr>
          <w:p>
            <w:pPr>
              <w:adjustRightInd w:val="0"/>
              <w:snapToGrid w:val="0"/>
              <w:jc w:val="center"/>
              <w:rPr>
                <w:rFonts w:hAnsi="仿宋_GB2312" w:cs="仿宋_GB2312"/>
                <w:color w:val="000000"/>
                <w:sz w:val="24"/>
                <w:szCs w:val="24"/>
              </w:rPr>
            </w:pPr>
          </w:p>
        </w:tc>
        <w:tc>
          <w:tcPr>
            <w:tcW w:w="199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致病菌（沙门氏菌、金黄色葡萄球菌、单核细胞增生李斯特氏菌、致泻大肠埃希氏菌</w:t>
            </w:r>
            <w:r>
              <w:rPr>
                <w:rFonts w:hAnsi="仿宋_GB2312" w:cs="仿宋_GB2312"/>
                <w:color w:val="000000"/>
                <w:sz w:val="24"/>
                <w:szCs w:val="24"/>
              </w:rPr>
              <w:t>）</w:t>
            </w:r>
          </w:p>
        </w:tc>
        <w:tc>
          <w:tcPr>
            <w:tcW w:w="2070"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参照GB29921</w:t>
            </w:r>
          </w:p>
        </w:tc>
        <w:tc>
          <w:tcPr>
            <w:tcW w:w="1965" w:type="dxa"/>
            <w:tcBorders>
              <w:tl2br w:val="nil"/>
              <w:tr2bl w:val="nil"/>
            </w:tcBorders>
            <w:noWrap/>
            <w:vAlign w:val="center"/>
          </w:tcPr>
          <w:p>
            <w:pPr>
              <w:adjustRightInd w:val="0"/>
              <w:snapToGrid w:val="0"/>
              <w:jc w:val="center"/>
              <w:rPr>
                <w:rFonts w:hAnsi="仿宋_GB2312" w:cs="仿宋_GB2312"/>
                <w:color w:val="000000"/>
                <w:sz w:val="24"/>
                <w:szCs w:val="24"/>
              </w:rPr>
            </w:pPr>
            <w:r>
              <w:rPr>
                <w:rFonts w:hint="eastAsia" w:hAnsi="仿宋_GB2312" w:cs="仿宋_GB2312"/>
                <w:color w:val="000000"/>
                <w:sz w:val="24"/>
                <w:szCs w:val="24"/>
              </w:rPr>
              <w:t>最后班次生产的产品，每月不少于1次</w:t>
            </w:r>
          </w:p>
        </w:tc>
      </w:tr>
    </w:tbl>
    <w:p>
      <w:pPr>
        <w:overflowPunct w:val="0"/>
        <w:adjustRightInd w:val="0"/>
        <w:snapToGrid w:val="0"/>
        <w:spacing w:line="336" w:lineRule="auto"/>
        <w:rPr>
          <w:szCs w:val="30"/>
        </w:rPr>
        <w:sectPr>
          <w:footerReference r:id="rId3" w:type="default"/>
          <w:footerReference r:id="rId4" w:type="even"/>
          <w:pgSz w:w="11906" w:h="16838"/>
          <w:pgMar w:top="2098" w:right="1474" w:bottom="1984" w:left="1587" w:header="851" w:footer="1417" w:gutter="0"/>
          <w:cols w:space="0" w:num="1"/>
          <w:docGrid w:type="linesAndChars" w:linePitch="579" w:charSpace="-842"/>
        </w:sectPr>
      </w:pPr>
    </w:p>
    <w:p>
      <w:pPr>
        <w:overflowPunct w:val="0"/>
        <w:adjustRightInd w:val="0"/>
        <w:snapToGrid w:val="0"/>
        <w:spacing w:line="336" w:lineRule="auto"/>
        <w:rPr>
          <w:szCs w:val="30"/>
        </w:rPr>
      </w:pPr>
    </w:p>
    <w:p>
      <w:pPr>
        <w:rPr>
          <w:szCs w:val="30"/>
        </w:rPr>
      </w:pPr>
      <w:r>
        <w:rPr>
          <w:szCs w:val="30"/>
        </w:rPr>
        <w:br w:type="page"/>
      </w: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line="336" w:lineRule="auto"/>
        <w:rPr>
          <w:szCs w:val="30"/>
        </w:rPr>
      </w:pPr>
    </w:p>
    <w:p>
      <w:pPr>
        <w:overflowPunct w:val="0"/>
        <w:adjustRightInd w:val="0"/>
        <w:snapToGrid w:val="0"/>
        <w:spacing w:after="140" w:line="336" w:lineRule="auto"/>
        <w:rPr>
          <w:szCs w:val="30"/>
        </w:rPr>
      </w:pPr>
    </w:p>
    <w:p>
      <w:pPr>
        <w:overflowPunct w:val="0"/>
        <w:adjustRightInd w:val="0"/>
        <w:snapToGrid w:val="0"/>
        <w:spacing w:line="336" w:lineRule="auto"/>
        <w:ind w:firstLine="284"/>
        <w:rPr>
          <w:rFonts w:hAnsi="宋体"/>
          <w:sz w:val="28"/>
          <w:szCs w:val="28"/>
        </w:rPr>
      </w:pPr>
      <w:r>
        <w:rPr>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3" name="直线 3"/>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3oBgx1QAAAAYB&#10;AAAPAAAAAAAAAAEAIAAAADgAAABkcnMvZG93bnJldi54bWxQSwECFAAUAAAACACHTuJAl29Qqc8B&#10;AACRAwAADgAAAAAAAAABACAAAAA6AQAAZHJzL2Uyb0RvYy54bWxQSwUGAAAAAAYABgBZAQAAewUA&#10;AAAA&#10;">
                <v:fill on="f" focussize="0,0"/>
                <v:stroke weight="1pt" color="#000000" joinstyle="round"/>
                <v:imagedata o:title=""/>
                <o:lock v:ext="edit" aspectratio="f"/>
                <w10:anchorlock/>
              </v:line>
            </w:pict>
          </mc:Fallback>
        </mc:AlternateContent>
      </w:r>
      <w:r>
        <w:rPr>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LFldYAAAAG&#10;AQAADwAAAAAAAAABACAAAAA4AAAAZHJzL2Rvd25yZXYueG1sUEsBAhQAFAAAAAgAh07iQDHuzzjP&#10;AQAAkQMAAA4AAAAAAAAAAQAgAAAAOwEAAGRycy9lMm9Eb2MueG1sUEsFBgAAAAAGAAYAWQEAAHwF&#10;AAAAAA==&#10;">
                <v:fill on="f" focussize="0,0"/>
                <v:stroke weight="1pt" color="#000000" joinstyle="round"/>
                <v:imagedata o:title=""/>
                <o:lock v:ext="edit" aspectratio="f"/>
                <w10:anchorlock/>
              </v:line>
            </w:pict>
          </mc:Fallback>
        </mc:AlternateContent>
      </w:r>
      <w:r>
        <w:rPr>
          <w:rFonts w:hint="eastAsia" w:hAnsi="宋体"/>
          <w:sz w:val="28"/>
          <w:szCs w:val="28"/>
        </w:rPr>
        <w:t>上海市市场监督管理局办公室</w:t>
      </w:r>
      <w:r>
        <w:rPr>
          <w:rFonts w:hint="eastAsia" w:hAnsi="宋体"/>
          <w:spacing w:val="-2"/>
          <w:sz w:val="28"/>
          <w:szCs w:val="28"/>
        </w:rPr>
        <w:t xml:space="preserve">                </w:t>
      </w:r>
      <w:r>
        <w:rPr>
          <w:rFonts w:hint="eastAsia" w:hAnsi="宋体"/>
          <w:sz w:val="28"/>
          <w:szCs w:val="28"/>
        </w:rPr>
        <w:t>202</w:t>
      </w:r>
      <w:r>
        <w:rPr>
          <w:rFonts w:hAnsi="宋体"/>
          <w:sz w:val="28"/>
          <w:szCs w:val="28"/>
        </w:rPr>
        <w:t>2</w:t>
      </w:r>
      <w:r>
        <w:rPr>
          <w:rFonts w:hint="eastAsia" w:hAnsi="宋体"/>
          <w:sz w:val="28"/>
          <w:szCs w:val="28"/>
        </w:rPr>
        <w:t xml:space="preserve">年7月19日印发  </w:t>
      </w:r>
    </w:p>
    <w:sectPr>
      <w:footerReference r:id="rId5" w:type="default"/>
      <w:footerReference r:id="rId6" w:type="even"/>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both"/>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10</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right"/>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2" w:right="312"/>
      <w:jc w:val="both"/>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A5DDC"/>
    <w:rsid w:val="00457058"/>
    <w:rsid w:val="00626A71"/>
    <w:rsid w:val="00662901"/>
    <w:rsid w:val="00723738"/>
    <w:rsid w:val="007F139A"/>
    <w:rsid w:val="00E93ED3"/>
    <w:rsid w:val="1EEA5DDC"/>
    <w:rsid w:val="6FB9FF5B"/>
    <w:rsid w:val="7977155E"/>
    <w:rsid w:val="7FC45CB3"/>
    <w:rsid w:val="EFFF774F"/>
    <w:rsid w:val="FBFFF0D6"/>
    <w:rsid w:val="FFEE2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Calibri"/>
      <w:sz w:val="21"/>
    </w:rPr>
  </w:style>
  <w:style w:type="paragraph" w:customStyle="1" w:styleId="8">
    <w:name w:val="表头"/>
    <w:basedOn w:val="1"/>
    <w:qFormat/>
    <w:uiPriority w:val="0"/>
    <w:pPr>
      <w:spacing w:line="440" w:lineRule="exact"/>
      <w:jc w:val="center"/>
    </w:pPr>
    <w:rPr>
      <w:rFonts w:ascii="黑体" w:hAnsi="黑体" w:eastAsia="黑体"/>
      <w:b/>
      <w:bCs/>
      <w:color w:val="000000"/>
      <w:szCs w:val="28"/>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557</Words>
  <Characters>3179</Characters>
  <Lines>26</Lines>
  <Paragraphs>7</Paragraphs>
  <TotalTime>1</TotalTime>
  <ScaleCrop>false</ScaleCrop>
  <LinksUpToDate>false</LinksUpToDate>
  <CharactersWithSpaces>3729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2022-07-05T22:33:00Z</dcterms:created>
  <dc:creator>scjuser</dc:creator>
  <cp:lastModifiedBy>scjuser</cp:lastModifiedBy>
  <cp:lastPrinted>2022-07-19T23:04:00Z</cp:lastPrinted>
  <dcterms:modified xsi:type="dcterms:W3CDTF">2022-08-02T17:59:59Z</dcterms:modified>
  <dc:title>上海市市场监督管理局文件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