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ascii="黑体" w:hAnsi="黑体" w:eastAsia="黑体"/>
          <w:sz w:val="24"/>
          <w:szCs w:val="24"/>
        </w:rPr>
      </w:pPr>
      <w:r>
        <w:rPr>
          <w:rFonts w:hint="eastAsia" w:ascii="黑体" w:hAnsi="黑体" w:eastAsia="黑体"/>
          <w:sz w:val="24"/>
          <w:szCs w:val="24"/>
        </w:rPr>
        <w:t>附件</w:t>
      </w:r>
      <w:r>
        <w:rPr>
          <w:rFonts w:hint="eastAsia" w:ascii="黑体" w:hAnsi="黑体" w:eastAsia="黑体"/>
          <w:sz w:val="24"/>
          <w:szCs w:val="24"/>
          <w:lang w:val="en-US" w:eastAsia="zh-CN"/>
        </w:rPr>
        <w:t>7</w:t>
      </w:r>
      <w:bookmarkStart w:id="0" w:name="_GoBack"/>
      <w:bookmarkEnd w:id="0"/>
      <w:r>
        <w:rPr>
          <w:rFonts w:hint="eastAsia" w:ascii="黑体" w:hAnsi="黑体" w:eastAsia="黑体"/>
          <w:sz w:val="24"/>
          <w:szCs w:val="24"/>
        </w:rPr>
        <w:t>：</w:t>
      </w:r>
    </w:p>
    <w:p>
      <w:pPr>
        <w:adjustRightInd w:val="0"/>
        <w:snapToGrid w:val="0"/>
        <w:spacing w:line="400" w:lineRule="exact"/>
        <w:ind w:firstLine="198"/>
        <w:jc w:val="center"/>
        <w:rPr>
          <w:rFonts w:ascii="黑体" w:hAnsi="黑体" w:eastAsia="黑体"/>
          <w:b/>
          <w:sz w:val="36"/>
          <w:szCs w:val="36"/>
        </w:rPr>
      </w:pPr>
      <w:r>
        <w:rPr>
          <w:rFonts w:hint="eastAsia" w:ascii="黑体" w:hAnsi="黑体" w:eastAsia="黑体"/>
          <w:b/>
          <w:sz w:val="36"/>
          <w:szCs w:val="36"/>
        </w:rPr>
        <w:t>20</w:t>
      </w:r>
      <w:r>
        <w:rPr>
          <w:rFonts w:hint="eastAsia" w:ascii="黑体" w:hAnsi="黑体" w:eastAsia="黑体"/>
          <w:b/>
          <w:sz w:val="36"/>
          <w:szCs w:val="36"/>
          <w:lang w:val="en-US" w:eastAsia="zh-CN"/>
        </w:rPr>
        <w:t>21</w:t>
      </w:r>
      <w:r>
        <w:rPr>
          <w:rFonts w:hint="eastAsia" w:ascii="黑体" w:hAnsi="黑体" w:eastAsia="黑体"/>
          <w:b/>
          <w:sz w:val="36"/>
          <w:szCs w:val="36"/>
        </w:rPr>
        <w:t>年度国有企业财务会计决算报表</w:t>
      </w:r>
    </w:p>
    <w:p>
      <w:pPr>
        <w:adjustRightInd w:val="0"/>
        <w:snapToGrid w:val="0"/>
        <w:spacing w:line="400" w:lineRule="exact"/>
        <w:ind w:firstLine="198"/>
        <w:jc w:val="center"/>
        <w:rPr>
          <w:rFonts w:ascii="黑体" w:hAnsi="黑体" w:eastAsia="黑体"/>
          <w:b/>
          <w:sz w:val="36"/>
          <w:szCs w:val="36"/>
        </w:rPr>
      </w:pPr>
      <w:r>
        <w:rPr>
          <w:rFonts w:hint="eastAsia" w:ascii="黑体" w:hAnsi="黑体" w:eastAsia="黑体"/>
          <w:b/>
          <w:sz w:val="36"/>
          <w:szCs w:val="36"/>
        </w:rPr>
        <w:t>[收益情况表]编制说明</w:t>
      </w:r>
    </w:p>
    <w:p>
      <w:pPr>
        <w:spacing w:line="440" w:lineRule="exact"/>
        <w:rPr>
          <w:rFonts w:ascii="仿宋_GB2312" w:eastAsia="仿宋_GB2312"/>
          <w:sz w:val="28"/>
          <w:szCs w:val="28"/>
        </w:rPr>
      </w:pPr>
      <w:r>
        <w:rPr>
          <w:rFonts w:hint="eastAsia" w:ascii="仿宋_GB2312" w:eastAsia="仿宋_GB2312"/>
          <w:sz w:val="28"/>
          <w:szCs w:val="28"/>
        </w:rPr>
        <w:tab/>
      </w:r>
    </w:p>
    <w:p>
      <w:pPr>
        <w:spacing w:line="440" w:lineRule="exact"/>
        <w:ind w:firstLine="470" w:firstLineChars="196"/>
        <w:rPr>
          <w:rFonts w:hint="eastAsia" w:ascii="黑体" w:hAnsi="黑体" w:eastAsia="黑体" w:cs="黑体"/>
          <w:b w:val="0"/>
          <w:bCs/>
          <w:sz w:val="24"/>
          <w:szCs w:val="24"/>
        </w:rPr>
      </w:pPr>
      <w:r>
        <w:rPr>
          <w:rFonts w:hint="eastAsia" w:ascii="黑体" w:hAnsi="黑体" w:eastAsia="黑体" w:cs="黑体"/>
          <w:b w:val="0"/>
          <w:bCs/>
          <w:sz w:val="24"/>
          <w:szCs w:val="24"/>
        </w:rPr>
        <w:t>一、填报范围</w:t>
      </w:r>
    </w:p>
    <w:p>
      <w:pPr>
        <w:spacing w:line="440" w:lineRule="exact"/>
        <w:ind w:firstLine="470" w:firstLineChars="196"/>
        <w:rPr>
          <w:rFonts w:ascii="仿宋_GB2312" w:eastAsia="仿宋_GB2312"/>
          <w:sz w:val="24"/>
          <w:szCs w:val="24"/>
        </w:rPr>
      </w:pPr>
      <w:r>
        <w:rPr>
          <w:rFonts w:hint="eastAsia" w:ascii="仿宋_GB2312" w:eastAsia="仿宋_GB2312"/>
          <w:sz w:val="24"/>
          <w:szCs w:val="24"/>
        </w:rPr>
        <w:t>本表填报范围为202</w:t>
      </w:r>
      <w:r>
        <w:rPr>
          <w:rFonts w:hint="eastAsia" w:ascii="仿宋_GB2312" w:eastAsia="仿宋_GB2312"/>
          <w:sz w:val="24"/>
          <w:szCs w:val="24"/>
          <w:lang w:val="en-US" w:eastAsia="zh-CN"/>
        </w:rPr>
        <w:t>1</w:t>
      </w:r>
      <w:r>
        <w:rPr>
          <w:rFonts w:hint="eastAsia" w:ascii="仿宋_GB2312" w:eastAsia="仿宋_GB2312"/>
          <w:sz w:val="24"/>
          <w:szCs w:val="24"/>
        </w:rPr>
        <w:t>年纳入中央国有资本经营预算实施范围的中央企业（一级企业）。</w:t>
      </w:r>
    </w:p>
    <w:p>
      <w:pPr>
        <w:spacing w:line="440" w:lineRule="exact"/>
        <w:ind w:firstLine="470" w:firstLineChars="196"/>
        <w:rPr>
          <w:rFonts w:hint="eastAsia" w:ascii="黑体" w:hAnsi="黑体" w:eastAsia="黑体" w:cs="黑体"/>
          <w:b w:val="0"/>
          <w:bCs/>
          <w:sz w:val="24"/>
          <w:szCs w:val="24"/>
        </w:rPr>
      </w:pPr>
      <w:r>
        <w:rPr>
          <w:rFonts w:hint="eastAsia" w:ascii="黑体" w:hAnsi="黑体" w:eastAsia="黑体" w:cs="黑体"/>
          <w:b w:val="0"/>
          <w:bCs/>
          <w:sz w:val="24"/>
          <w:szCs w:val="24"/>
        </w:rPr>
        <w:t>二、主要指标填报方法</w:t>
      </w:r>
    </w:p>
    <w:p>
      <w:pPr>
        <w:spacing w:line="440" w:lineRule="exact"/>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（一）中央企业国有资本收益（应交利润）情况表（国资收益01表）</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本表由国有独资企业填报，如果国有独资企业拥有全资公司或者控股子公司、子企业的，应当由集团公司（母公司、总公司）以年度合并财务报表反映的数据为基础申报，且在集团合并表级次填报。其中：</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1.合并净利润（第</w:t>
      </w:r>
      <w:r>
        <w:rPr>
          <w:rFonts w:hint="eastAsia" w:ascii="仿宋_GB2312" w:eastAsia="仿宋_GB2312"/>
          <w:sz w:val="24"/>
          <w:szCs w:val="24"/>
          <w:lang w:val="en-US" w:eastAsia="zh-CN"/>
        </w:rPr>
        <w:t>1</w:t>
      </w:r>
      <w:r>
        <w:rPr>
          <w:rFonts w:hint="eastAsia" w:ascii="仿宋_GB2312" w:eastAsia="仿宋_GB2312"/>
          <w:sz w:val="24"/>
          <w:szCs w:val="24"/>
        </w:rPr>
        <w:t>行）填报企业集团合并表中的净利润。</w:t>
      </w:r>
      <w:r>
        <w:rPr>
          <w:rFonts w:hint="eastAsia" w:ascii="仿宋_GB2312" w:eastAsia="仿宋_GB2312"/>
          <w:sz w:val="24"/>
          <w:szCs w:val="24"/>
        </w:rPr>
        <w:tab/>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2.少数股东损益（第</w:t>
      </w:r>
      <w:r>
        <w:rPr>
          <w:rFonts w:hint="eastAsia" w:ascii="仿宋_GB2312" w:eastAsia="仿宋_GB2312"/>
          <w:sz w:val="24"/>
          <w:szCs w:val="24"/>
          <w:lang w:val="en-US" w:eastAsia="zh-CN"/>
        </w:rPr>
        <w:t>2</w:t>
      </w:r>
      <w:r>
        <w:rPr>
          <w:rFonts w:hint="eastAsia" w:ascii="仿宋_GB2312" w:eastAsia="仿宋_GB2312"/>
          <w:sz w:val="24"/>
          <w:szCs w:val="24"/>
        </w:rPr>
        <w:t>行）填报企业集团合并表中的少数股东损益。</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3.弥补以前年度亏损（第</w:t>
      </w:r>
      <w:r>
        <w:rPr>
          <w:rFonts w:hint="eastAsia" w:ascii="仿宋_GB2312" w:eastAsia="仿宋_GB2312"/>
          <w:sz w:val="24"/>
          <w:szCs w:val="24"/>
          <w:lang w:val="en-US" w:eastAsia="zh-CN"/>
        </w:rPr>
        <w:t>4</w:t>
      </w:r>
      <w:r>
        <w:rPr>
          <w:rFonts w:hint="eastAsia" w:ascii="仿宋_GB2312" w:eastAsia="仿宋_GB2312"/>
          <w:sz w:val="24"/>
          <w:szCs w:val="24"/>
        </w:rPr>
        <w:t>行）填报企业上年未分配利润期末数。</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4.提取法定公积金（第</w:t>
      </w:r>
      <w:r>
        <w:rPr>
          <w:rFonts w:hint="eastAsia" w:ascii="仿宋_GB2312" w:eastAsia="仿宋_GB2312"/>
          <w:sz w:val="24"/>
          <w:szCs w:val="24"/>
          <w:lang w:val="en-US" w:eastAsia="zh-CN"/>
        </w:rPr>
        <w:t>5</w:t>
      </w:r>
      <w:r>
        <w:rPr>
          <w:rFonts w:hint="eastAsia" w:ascii="仿宋_GB2312" w:eastAsia="仿宋_GB2312"/>
          <w:sz w:val="24"/>
          <w:szCs w:val="24"/>
        </w:rPr>
        <w:t>行）填报的数小于等于（归属于母公司所有者净利润-弥补以前年度亏损）×10%。</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5.上交利润比例（第</w:t>
      </w:r>
      <w:r>
        <w:rPr>
          <w:rFonts w:hint="eastAsia" w:ascii="仿宋_GB2312" w:eastAsia="仿宋_GB2312"/>
          <w:sz w:val="24"/>
          <w:szCs w:val="24"/>
          <w:lang w:val="en-US" w:eastAsia="zh-CN"/>
        </w:rPr>
        <w:t>7</w:t>
      </w:r>
      <w:r>
        <w:rPr>
          <w:rFonts w:hint="eastAsia" w:ascii="仿宋_GB2312" w:eastAsia="仿宋_GB2312"/>
          <w:sz w:val="24"/>
          <w:szCs w:val="24"/>
        </w:rPr>
        <w:t>行）根据国务院批准的收益上交比例填报。</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6.以前年度欠交利润（第</w:t>
      </w:r>
      <w:r>
        <w:rPr>
          <w:rFonts w:hint="eastAsia" w:ascii="仿宋_GB2312" w:eastAsia="仿宋_GB2312"/>
          <w:sz w:val="24"/>
          <w:szCs w:val="24"/>
          <w:lang w:val="en-US" w:eastAsia="zh-CN"/>
        </w:rPr>
        <w:t>9</w:t>
      </w:r>
      <w:r>
        <w:rPr>
          <w:rFonts w:hint="eastAsia" w:ascii="仿宋_GB2312" w:eastAsia="仿宋_GB2312"/>
          <w:sz w:val="24"/>
          <w:szCs w:val="24"/>
        </w:rPr>
        <w:t>行）填报以前年度审核应交国有资本收益未完成缴库金额。</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7.以前年度损益调整补交利润（第</w:t>
      </w:r>
      <w:r>
        <w:rPr>
          <w:rFonts w:hint="eastAsia" w:ascii="仿宋_GB2312" w:eastAsia="仿宋_GB2312"/>
          <w:sz w:val="24"/>
          <w:szCs w:val="24"/>
          <w:lang w:val="en-US" w:eastAsia="zh-CN"/>
        </w:rPr>
        <w:t>10</w:t>
      </w:r>
      <w:r>
        <w:rPr>
          <w:rFonts w:hint="eastAsia" w:ascii="仿宋_GB2312" w:eastAsia="仿宋_GB2312"/>
          <w:sz w:val="24"/>
          <w:szCs w:val="24"/>
        </w:rPr>
        <w:t>行）填报（未分配利润期初数-未分配利润上年的期末数）×收益上交比例，其中清产核资、合并范围变化等因素调整年初未分配利润不作为以前年度损益调整补交利润基数。</w:t>
      </w:r>
    </w:p>
    <w:p>
      <w:pPr>
        <w:spacing w:line="440" w:lineRule="exact"/>
        <w:ind w:firstLine="480" w:firstLineChars="200"/>
        <w:rPr>
          <w:rFonts w:hint="eastAsia" w:ascii="仿宋_GB2312" w:eastAsia="仿宋_GB2312"/>
          <w:sz w:val="24"/>
          <w:szCs w:val="24"/>
        </w:rPr>
      </w:pPr>
      <w:r>
        <w:rPr>
          <w:rFonts w:hint="eastAsia" w:ascii="仿宋_GB2312" w:eastAsia="仿宋_GB2312"/>
          <w:sz w:val="24"/>
          <w:szCs w:val="24"/>
          <w:lang w:val="en-US" w:eastAsia="zh-CN"/>
        </w:rPr>
        <w:t>8</w:t>
      </w:r>
      <w:r>
        <w:rPr>
          <w:rFonts w:hint="eastAsia" w:ascii="仿宋_GB2312" w:eastAsia="仿宋_GB2312"/>
          <w:sz w:val="24"/>
          <w:szCs w:val="24"/>
        </w:rPr>
        <w:t>.本期应免交利润（第</w:t>
      </w:r>
      <w:r>
        <w:rPr>
          <w:rFonts w:hint="eastAsia" w:ascii="仿宋_GB2312" w:eastAsia="仿宋_GB2312"/>
          <w:sz w:val="24"/>
          <w:szCs w:val="24"/>
          <w:lang w:val="en-US" w:eastAsia="zh-CN"/>
        </w:rPr>
        <w:t>11</w:t>
      </w:r>
      <w:r>
        <w:rPr>
          <w:rFonts w:hint="eastAsia" w:ascii="仿宋_GB2312" w:eastAsia="仿宋_GB2312"/>
          <w:sz w:val="24"/>
          <w:szCs w:val="24"/>
        </w:rPr>
        <w:t>行）针对小微企业且当年收益不足10万的可填报后申请免交国有资本收益。</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（二）中央企业国有资本收益（国有股股利、股息）情况表（国资收益02表）</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本表由国有控股企业或国有参股企业</w:t>
      </w:r>
      <w:r>
        <w:rPr>
          <w:rFonts w:hint="eastAsia" w:ascii="仿宋_GB2312" w:eastAsia="仿宋_GB2312"/>
          <w:sz w:val="24"/>
          <w:szCs w:val="24"/>
          <w:lang w:eastAsia="zh-CN"/>
        </w:rPr>
        <w:t>在</w:t>
      </w:r>
      <w:r>
        <w:rPr>
          <w:rFonts w:hint="eastAsia" w:ascii="仿宋_GB2312" w:eastAsia="仿宋_GB2312"/>
          <w:sz w:val="24"/>
          <w:szCs w:val="24"/>
        </w:rPr>
        <w:t>集团合并</w:t>
      </w:r>
      <w:r>
        <w:rPr>
          <w:rFonts w:hint="eastAsia" w:ascii="仿宋_GB2312" w:eastAsia="仿宋_GB2312"/>
          <w:sz w:val="24"/>
          <w:szCs w:val="24"/>
          <w:lang w:eastAsia="zh-CN"/>
        </w:rPr>
        <w:t>表</w:t>
      </w:r>
      <w:r>
        <w:rPr>
          <w:rFonts w:hint="eastAsia" w:ascii="仿宋_GB2312" w:eastAsia="仿宋_GB2312"/>
          <w:sz w:val="24"/>
          <w:szCs w:val="24"/>
        </w:rPr>
        <w:t>级次填报</w:t>
      </w:r>
      <w:r>
        <w:rPr>
          <w:rFonts w:hint="eastAsia" w:ascii="仿宋_GB2312" w:eastAsia="仿宋_GB2312"/>
          <w:sz w:val="24"/>
          <w:szCs w:val="24"/>
          <w:lang w:eastAsia="zh-CN"/>
        </w:rPr>
        <w:t>。其中</w:t>
      </w:r>
      <w:r>
        <w:rPr>
          <w:rFonts w:hint="eastAsia" w:ascii="仿宋_GB2312" w:eastAsia="仿宋_GB2312"/>
          <w:sz w:val="24"/>
          <w:szCs w:val="24"/>
        </w:rPr>
        <w:t>：</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1.合并净利润（第</w:t>
      </w:r>
      <w:r>
        <w:rPr>
          <w:rFonts w:hint="eastAsia" w:ascii="仿宋_GB2312" w:eastAsia="仿宋_GB2312"/>
          <w:sz w:val="24"/>
          <w:szCs w:val="24"/>
          <w:lang w:val="en-US" w:eastAsia="zh-CN"/>
        </w:rPr>
        <w:t>1</w:t>
      </w:r>
      <w:r>
        <w:rPr>
          <w:rFonts w:hint="eastAsia" w:ascii="仿宋_GB2312" w:eastAsia="仿宋_GB2312"/>
          <w:sz w:val="24"/>
          <w:szCs w:val="24"/>
        </w:rPr>
        <w:t>行）填报企业集团合并表中的净利润。</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2.少数股东损益（第</w:t>
      </w:r>
      <w:r>
        <w:rPr>
          <w:rFonts w:hint="eastAsia" w:ascii="仿宋_GB2312" w:eastAsia="仿宋_GB2312"/>
          <w:sz w:val="24"/>
          <w:szCs w:val="24"/>
          <w:lang w:val="en-US" w:eastAsia="zh-CN"/>
        </w:rPr>
        <w:t>2</w:t>
      </w:r>
      <w:r>
        <w:rPr>
          <w:rFonts w:hint="eastAsia" w:ascii="仿宋_GB2312" w:eastAsia="仿宋_GB2312"/>
          <w:sz w:val="24"/>
          <w:szCs w:val="24"/>
        </w:rPr>
        <w:t>行）填报企业集团合并表中的少数股东损益。</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3.年初未分配利润（第</w:t>
      </w:r>
      <w:r>
        <w:rPr>
          <w:rFonts w:hint="eastAsia" w:ascii="仿宋_GB2312" w:eastAsia="仿宋_GB2312"/>
          <w:sz w:val="24"/>
          <w:szCs w:val="24"/>
          <w:lang w:val="en-US" w:eastAsia="zh-CN"/>
        </w:rPr>
        <w:t>4</w:t>
      </w:r>
      <w:r>
        <w:rPr>
          <w:rFonts w:hint="eastAsia" w:ascii="仿宋_GB2312" w:eastAsia="仿宋_GB2312"/>
          <w:sz w:val="24"/>
          <w:szCs w:val="24"/>
        </w:rPr>
        <w:t>行）填报企业上年未分配利润期末数。</w:t>
      </w:r>
    </w:p>
    <w:p>
      <w:pPr>
        <w:spacing w:line="440" w:lineRule="exact"/>
        <w:ind w:firstLine="480" w:firstLineChars="200"/>
        <w:rPr>
          <w:rFonts w:hint="eastAsia" w:ascii="仿宋_GB2312" w:eastAsia="仿宋_GB2312"/>
          <w:sz w:val="24"/>
          <w:szCs w:val="24"/>
        </w:rPr>
      </w:pPr>
      <w:r>
        <w:rPr>
          <w:rFonts w:hint="eastAsia" w:ascii="仿宋_GB2312" w:eastAsia="仿宋_GB2312"/>
          <w:sz w:val="24"/>
          <w:szCs w:val="24"/>
        </w:rPr>
        <w:t>4.提取法定公积金（第</w:t>
      </w:r>
      <w:r>
        <w:rPr>
          <w:rFonts w:hint="eastAsia" w:ascii="仿宋_GB2312" w:eastAsia="仿宋_GB2312"/>
          <w:sz w:val="24"/>
          <w:szCs w:val="24"/>
          <w:lang w:val="en-US" w:eastAsia="zh-CN"/>
        </w:rPr>
        <w:t>5</w:t>
      </w:r>
      <w:r>
        <w:rPr>
          <w:rFonts w:hint="eastAsia" w:ascii="仿宋_GB2312" w:eastAsia="仿宋_GB2312"/>
          <w:sz w:val="24"/>
          <w:szCs w:val="24"/>
        </w:rPr>
        <w:t>行）填报的数小于等于归属于母公司所有者净利润的10%。</w:t>
      </w:r>
    </w:p>
    <w:p>
      <w:pPr>
        <w:spacing w:line="440" w:lineRule="exact"/>
        <w:ind w:firstLine="480" w:firstLineChars="200"/>
        <w:rPr>
          <w:rFonts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w:t>
      </w:r>
      <w:r>
        <w:rPr>
          <w:rFonts w:hint="eastAsia" w:ascii="仿宋_GB2312" w:eastAsia="仿宋_GB2312"/>
          <w:sz w:val="24"/>
          <w:szCs w:val="24"/>
          <w:lang w:eastAsia="zh-CN"/>
        </w:rPr>
        <w:t>当年可供投资者分配利润</w:t>
      </w:r>
      <w:r>
        <w:rPr>
          <w:rFonts w:hint="eastAsia" w:ascii="仿宋_GB2312" w:eastAsia="仿宋_GB2312"/>
          <w:sz w:val="24"/>
          <w:szCs w:val="24"/>
        </w:rPr>
        <w:t>（第</w:t>
      </w:r>
      <w:r>
        <w:rPr>
          <w:rFonts w:hint="eastAsia" w:ascii="仿宋_GB2312" w:eastAsia="仿宋_GB2312"/>
          <w:sz w:val="24"/>
          <w:szCs w:val="24"/>
          <w:lang w:val="en-US" w:eastAsia="zh-CN"/>
        </w:rPr>
        <w:t>6</w:t>
      </w:r>
      <w:r>
        <w:rPr>
          <w:rFonts w:hint="eastAsia" w:ascii="仿宋_GB2312" w:eastAsia="仿宋_GB2312"/>
          <w:sz w:val="24"/>
          <w:szCs w:val="24"/>
        </w:rPr>
        <w:t>行）填报经股东会或者股东大会（</w:t>
      </w:r>
      <w:r>
        <w:rPr>
          <w:rFonts w:hint="eastAsia" w:ascii="仿宋_GB2312" w:eastAsia="仿宋_GB2312"/>
          <w:sz w:val="24"/>
          <w:szCs w:val="24"/>
          <w:lang w:eastAsia="zh-CN"/>
        </w:rPr>
        <w:t>未</w:t>
      </w:r>
      <w:r>
        <w:rPr>
          <w:rFonts w:hint="eastAsia" w:ascii="仿宋_GB2312" w:eastAsia="仿宋_GB2312"/>
          <w:sz w:val="24"/>
          <w:szCs w:val="24"/>
        </w:rPr>
        <w:t>设立股东会或者股东大会的为董事会）表决通过的利润分配金额。</w:t>
      </w:r>
    </w:p>
    <w:p>
      <w:pPr>
        <w:spacing w:line="440" w:lineRule="exact"/>
        <w:ind w:firstLine="480" w:firstLineChars="200"/>
        <w:rPr>
          <w:rFonts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rPr>
        <w:t>.上交利润比例（第</w:t>
      </w:r>
      <w:r>
        <w:rPr>
          <w:rFonts w:hint="eastAsia" w:ascii="仿宋_GB2312" w:eastAsia="仿宋_GB2312"/>
          <w:sz w:val="24"/>
          <w:szCs w:val="24"/>
          <w:lang w:val="en-US" w:eastAsia="zh-CN"/>
        </w:rPr>
        <w:t>9</w:t>
      </w:r>
      <w:r>
        <w:rPr>
          <w:rFonts w:hint="eastAsia" w:ascii="仿宋_GB2312" w:eastAsia="仿宋_GB2312"/>
          <w:sz w:val="24"/>
          <w:szCs w:val="24"/>
        </w:rPr>
        <w:t>行）</w:t>
      </w:r>
      <w:r>
        <w:rPr>
          <w:rFonts w:hint="eastAsia" w:ascii="仿宋_GB2312" w:eastAsia="仿宋_GB2312"/>
          <w:sz w:val="24"/>
          <w:szCs w:val="24"/>
          <w:lang w:eastAsia="zh-CN"/>
        </w:rPr>
        <w:t>参照同行业国有独资企业</w:t>
      </w:r>
      <w:r>
        <w:rPr>
          <w:rFonts w:hint="eastAsia" w:ascii="仿宋_GB2312" w:eastAsia="仿宋_GB2312"/>
          <w:sz w:val="24"/>
          <w:szCs w:val="24"/>
        </w:rPr>
        <w:t>的收益上交比例填报。</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7.国有股权（股份）所占比例</w:t>
      </w:r>
      <w:r>
        <w:rPr>
          <w:rFonts w:hint="eastAsia" w:ascii="仿宋_GB2312" w:eastAsia="仿宋_GB2312"/>
          <w:sz w:val="24"/>
          <w:szCs w:val="24"/>
          <w:lang w:eastAsia="zh-CN"/>
        </w:rPr>
        <w:t>（含社保基金）</w:t>
      </w:r>
      <w:r>
        <w:rPr>
          <w:rFonts w:hint="eastAsia" w:ascii="仿宋_GB2312" w:eastAsia="仿宋_GB2312"/>
          <w:sz w:val="24"/>
          <w:szCs w:val="24"/>
        </w:rPr>
        <w:t>（第</w:t>
      </w:r>
      <w:r>
        <w:rPr>
          <w:rFonts w:hint="eastAsia" w:ascii="仿宋_GB2312" w:eastAsia="仿宋_GB2312"/>
          <w:sz w:val="24"/>
          <w:szCs w:val="24"/>
          <w:lang w:val="en-US" w:eastAsia="zh-CN"/>
        </w:rPr>
        <w:t>12</w:t>
      </w:r>
      <w:r>
        <w:rPr>
          <w:rFonts w:hint="eastAsia" w:ascii="仿宋_GB2312" w:eastAsia="仿宋_GB2312"/>
          <w:sz w:val="24"/>
          <w:szCs w:val="24"/>
        </w:rPr>
        <w:t>行）填报国有股权（股份占比</w:t>
      </w:r>
      <w:r>
        <w:rPr>
          <w:rFonts w:hint="eastAsia" w:ascii="仿宋_GB2312" w:eastAsia="仿宋_GB2312"/>
          <w:sz w:val="24"/>
          <w:szCs w:val="24"/>
          <w:lang w:eastAsia="zh-CN"/>
        </w:rPr>
        <w:t>，含划转社保基金会比例</w:t>
      </w:r>
      <w:r>
        <w:rPr>
          <w:rFonts w:hint="eastAsia" w:ascii="仿宋_GB2312" w:eastAsia="仿宋_GB2312"/>
          <w:sz w:val="24"/>
          <w:szCs w:val="24"/>
        </w:rPr>
        <w:t>。</w:t>
      </w:r>
    </w:p>
    <w:p>
      <w:pPr>
        <w:spacing w:line="440" w:lineRule="exact"/>
        <w:ind w:firstLine="480" w:firstLineChars="200"/>
        <w:rPr>
          <w:rFonts w:ascii="仿宋_GB2312" w:eastAsia="仿宋_GB2312"/>
          <w:sz w:val="24"/>
          <w:szCs w:val="24"/>
        </w:rPr>
      </w:pPr>
      <w:r>
        <w:rPr>
          <w:rFonts w:hint="eastAsia" w:ascii="仿宋_GB2312" w:eastAsia="仿宋_GB2312"/>
          <w:sz w:val="24"/>
          <w:szCs w:val="24"/>
        </w:rPr>
        <w:t>8.以前年度欠交的国有</w:t>
      </w:r>
      <w:r>
        <w:rPr>
          <w:rFonts w:hint="eastAsia" w:ascii="仿宋_GB2312" w:eastAsia="仿宋_GB2312"/>
          <w:sz w:val="24"/>
          <w:szCs w:val="24"/>
          <w:lang w:eastAsia="zh-CN"/>
        </w:rPr>
        <w:t>股</w:t>
      </w:r>
      <w:r>
        <w:rPr>
          <w:rFonts w:hint="eastAsia" w:ascii="仿宋_GB2312" w:eastAsia="仿宋_GB2312"/>
          <w:sz w:val="24"/>
          <w:szCs w:val="24"/>
        </w:rPr>
        <w:t>股利、股息（第</w:t>
      </w:r>
      <w:r>
        <w:rPr>
          <w:rFonts w:hint="eastAsia" w:ascii="仿宋_GB2312" w:eastAsia="仿宋_GB2312"/>
          <w:sz w:val="24"/>
          <w:szCs w:val="24"/>
          <w:lang w:val="en-US" w:eastAsia="zh-CN"/>
        </w:rPr>
        <w:t>15</w:t>
      </w:r>
      <w:r>
        <w:rPr>
          <w:rFonts w:hint="eastAsia" w:ascii="仿宋_GB2312" w:eastAsia="仿宋_GB2312"/>
          <w:sz w:val="24"/>
          <w:szCs w:val="24"/>
        </w:rPr>
        <w:t>行）填报以前年度审核后未上交的国有资本收益或以前年度未申报经审核后需补交的国有资本收益。</w:t>
      </w:r>
    </w:p>
    <w:p>
      <w:pPr>
        <w:spacing w:line="440" w:lineRule="exact"/>
        <w:ind w:firstLine="480" w:firstLineChars="200"/>
        <w:rPr>
          <w:rFonts w:ascii="仿宋_GB2312" w:eastAsia="仿宋_GB2312"/>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7571232"/>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3086"/>
    <w:rsid w:val="0009008A"/>
    <w:rsid w:val="000D40F7"/>
    <w:rsid w:val="001004D9"/>
    <w:rsid w:val="00103A86"/>
    <w:rsid w:val="00153086"/>
    <w:rsid w:val="00190163"/>
    <w:rsid w:val="001B0718"/>
    <w:rsid w:val="001B4353"/>
    <w:rsid w:val="001C0668"/>
    <w:rsid w:val="001E1D1E"/>
    <w:rsid w:val="0022379B"/>
    <w:rsid w:val="002C1009"/>
    <w:rsid w:val="00313A7A"/>
    <w:rsid w:val="00373E68"/>
    <w:rsid w:val="003774C4"/>
    <w:rsid w:val="003C78AC"/>
    <w:rsid w:val="003E69C0"/>
    <w:rsid w:val="00447262"/>
    <w:rsid w:val="004A1A1C"/>
    <w:rsid w:val="004B3F59"/>
    <w:rsid w:val="004C2A3B"/>
    <w:rsid w:val="004C52D0"/>
    <w:rsid w:val="0052668C"/>
    <w:rsid w:val="0056653A"/>
    <w:rsid w:val="005D2D0C"/>
    <w:rsid w:val="00632BBB"/>
    <w:rsid w:val="006641D5"/>
    <w:rsid w:val="0067328F"/>
    <w:rsid w:val="00760B19"/>
    <w:rsid w:val="007A4C3C"/>
    <w:rsid w:val="007B27D5"/>
    <w:rsid w:val="00812443"/>
    <w:rsid w:val="008146C1"/>
    <w:rsid w:val="00915037"/>
    <w:rsid w:val="00925F0E"/>
    <w:rsid w:val="00934B7E"/>
    <w:rsid w:val="00966FC2"/>
    <w:rsid w:val="009848EF"/>
    <w:rsid w:val="009C0DAC"/>
    <w:rsid w:val="009E1625"/>
    <w:rsid w:val="00A40771"/>
    <w:rsid w:val="00A61A44"/>
    <w:rsid w:val="00B83CD2"/>
    <w:rsid w:val="00C122BD"/>
    <w:rsid w:val="00CA0D2B"/>
    <w:rsid w:val="00D07B69"/>
    <w:rsid w:val="00D10755"/>
    <w:rsid w:val="00D31C9B"/>
    <w:rsid w:val="00D57FF0"/>
    <w:rsid w:val="00D8534F"/>
    <w:rsid w:val="00DE0533"/>
    <w:rsid w:val="00DF7FCE"/>
    <w:rsid w:val="00E250B6"/>
    <w:rsid w:val="00E97CCE"/>
    <w:rsid w:val="00F039CF"/>
    <w:rsid w:val="00F0579E"/>
    <w:rsid w:val="00F16655"/>
    <w:rsid w:val="00F25C74"/>
    <w:rsid w:val="00F35C96"/>
    <w:rsid w:val="00F66A42"/>
    <w:rsid w:val="00F7239B"/>
    <w:rsid w:val="00FA262A"/>
    <w:rsid w:val="15DEC9C7"/>
    <w:rsid w:val="5232642B"/>
    <w:rsid w:val="5CFA0A95"/>
    <w:rsid w:val="5FDC2968"/>
    <w:rsid w:val="79F5B181"/>
    <w:rsid w:val="7EF7F6C7"/>
    <w:rsid w:val="FFB337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160</Words>
  <Characters>913</Characters>
  <Lines>7</Lines>
  <Paragraphs>2</Paragraphs>
  <TotalTime>1</TotalTime>
  <ScaleCrop>false</ScaleCrop>
  <LinksUpToDate>false</LinksUpToDate>
  <CharactersWithSpaces>1071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2018-11-01T10:41:00Z</dcterms:created>
  <dc:creator>Administrator</dc:creator>
  <cp:lastModifiedBy>lenovo</cp:lastModifiedBy>
  <cp:lastPrinted>2018-12-09T10:13:00Z</cp:lastPrinted>
  <dcterms:modified xsi:type="dcterms:W3CDTF">2022-01-28T14:48:25Z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