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napToGrid w:val="0"/>
        <w:spacing w:line="240" w:lineRule="atLeast"/>
        <w:jc w:val="center"/>
        <w:rPr>
          <w:rFonts w:hint="eastAsia"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sz w:val="36"/>
          <w:szCs w:val="36"/>
        </w:rPr>
        <w:t>静安区小学生“活力发展”评价指标3.0</w:t>
      </w:r>
    </w:p>
    <w:tbl>
      <w:tblPr>
        <w:tblStyle w:val="8"/>
        <w:tblpPr w:leftFromText="180" w:rightFromText="180" w:vertAnchor="text" w:horzAnchor="margin" w:tblpXSpec="center" w:tblpY="101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843"/>
        <w:gridCol w:w="10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一级指标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二级指标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参考性三级指标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观测点示例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活学善思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自我管理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自主规划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学会认识自己，知道自己的优点和不足；学习计划、制定并遵守有目标、有内容的学习生活安排表。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正确认识与评估自己，知悉自身的兴趣爱好和优势发展方向；合理分配和使用时间，根据自己的实际情况判断自我日常规划安排的合理性。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健全人格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珍爱生命，爱自己、爱他人、爱家庭、爱学校、爱家乡；相信自己，热爱生活；初步学会自我控制，树立纪律意识、时间意识和规则意识。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生动活泼，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保持乐观向上的积极心态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；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合理控制并调节自我情绪；正确看待挫折，具备应对学习压力、生活困难和寻求帮助的积极心理素质。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劳动习惯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树立自己的事情自己做的意识，尝试完成个人物品整理、清洗，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养成生活自理的习惯；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进行简单的班级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家庭清扫和垃圾分类等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；爱惜劳动成果，杜绝浪费。</w:t>
            </w:r>
          </w:p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增强公共服务意识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，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坚持参加校园卫生保洁、垃圾分类处理、绿化美化等劳动，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养成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组织或参与社区环保、公共卫生等力所能及公益劳动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的习惯；珍惜劳动成果，养成吃苦耐劳的品质。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好奇求知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观察发现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对事物或现象试着从不同角度进行观察，寻找事物的特征，尝试发现规律；拥有对未知领域的好奇心及学习动机，对已知领域具有探索精神。</w:t>
            </w:r>
          </w:p>
          <w:p>
            <w:pPr>
              <w:snapToGrid w:val="0"/>
              <w:spacing w:line="240" w:lineRule="exact"/>
              <w:jc w:val="left"/>
              <w:rPr>
                <w:rFonts w:ascii="宋体" w:hAnsi="宋体" w:eastAsia="宋体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善于从不同角度对事物或现象进行观察，积极进行理性思考，有总结规律的意识；遇到问题与困难不惧怕、不放弃，始终拥有探索精神。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艺术感知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对各类艺术活动感兴趣，乐于参与实践体验，学会对生活及艺术作品中美好的事物和现象进行感知与回应。</w:t>
            </w:r>
          </w:p>
          <w:p>
            <w:pPr>
              <w:snapToGrid w:val="0"/>
              <w:spacing w:line="240" w:lineRule="exact"/>
              <w:jc w:val="left"/>
              <w:rPr>
                <w:rFonts w:ascii="宋体" w:hAnsi="宋体" w:eastAsia="宋体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高学段能力：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根据自己个人的兴趣爱好，主动参与艺术活动，欣赏并关注生活及艺术作品中美好的事物、现象和情感，通过聆听辨别和观察识别，表达对艺术作品的基本感知与理解。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快乐运动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ind w:right="-102" w:rightChars="-49"/>
              <w:jc w:val="left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喜欢参与体育活动，充分享受运动乐趣；学会观看体育赛事，掌握基本的运动规则，试图寻找自己感兴趣的运动项目。</w:t>
            </w:r>
          </w:p>
          <w:p>
            <w:pPr>
              <w:snapToGrid w:val="0"/>
              <w:spacing w:line="240" w:lineRule="exact"/>
              <w:ind w:right="-102" w:rightChars="-49"/>
              <w:jc w:val="lef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主动关注体育信息，熟知体育项目的基本规则，形成自己感兴趣的运动项目；积极参与体育赛事，在运动的过程中体悟愉悦感。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创新思维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联想迁移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根据观察到的事物或现象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展开合理想象，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尝试从新旧知识、课内与课外等角度入手，学会比较、发现异同、建立联系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t>。</w:t>
            </w:r>
          </w:p>
          <w:p>
            <w:pPr>
              <w:snapToGrid w:val="0"/>
              <w:spacing w:line="240" w:lineRule="exact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t>根据观察到的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事物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t>或现象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进行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t>发散性思考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，综合运用已有认知获取新知识；能够在联想迁移的过程中把握一定的规律，使之形成解决问题的有效策略与手段。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1" w:type="dxa"/>
            <w:vMerge w:val="continue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思辨质疑 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学会从日常生活中发现和提出的问题，产生求疑的愿望；在理解他人想法的同时尝试学会简单的梳理提炼方法，并提出自己的观点。</w:t>
            </w:r>
          </w:p>
          <w:p>
            <w:pPr>
              <w:snapToGrid w:val="0"/>
              <w:spacing w:line="240" w:lineRule="exact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善于从日常生活中发现和提出问题，勇于质疑，能从新角度、多维度、辩证性地分析问题，做出选择和决定，具有一定的批判性思维和创新思维。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乐群悦纳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理解包容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家国情怀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具有国家意识，了解、热爱并尊重国旗、国徽、国歌等国家象征；尊重父母长辈，和睦家人；明确国家与家庭，社会与个人，都是密不可分的整体，具有初步的忧患意识。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主动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了解党史国情，爱党爱国爱人民爱社会主义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，以国民身份为荣；传承优秀家风、家训，向英雄模范和先进典型榜样学习；始终树立在忧患中奋起，保持昂扬的精神状态。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国际理解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关心国际时政新闻，尝试了解异国文化，尝试获取丰富的国际理解态度和全球意识；初步了解人类文明的起源和发展，感受人类文明的多样性。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能够理解、尊重并包容世界多元文化的多样性和差异性；积极参与跨文化的活动，以开放、包容、批判的态度去探索世界，树立人类命运共同体思想。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交往表达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倾听沟通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在他人发表观点时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够耐心倾听，理解其表达的信息；主动发表自己的观点，乐于与他人分享。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 xml:space="preserve"> 在与伙伴交往中，尊重他人的不同观点；提取关键信息适时回应，提出可能存在的问题与解决策略。</w:t>
            </w:r>
            <w:r>
              <w:rPr>
                <w:rFonts w:ascii="仿宋" w:hAnsi="仿宋" w:eastAsia="仿宋"/>
                <w:bCs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审美判断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了解丰富多样的艺术表现形式，分辨中、外艺术作品外在表现形式的差异，大胆尝试，运用艺术手段表达自己的想法。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主动模仿、学习自己感兴趣的艺术表现形式，尝试对艺术作品和艺术现象进行描述、判断和评价，乐于运用丰富的艺术表现手段，表达自己的想法和理解，悦纳他人的观点。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合作欣赏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竞技协作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喜欢观看体育赛事，初步感知竞技体育的魅力；主动参与团队活动和体育游戏，守规则、会合作，激活运动潜力。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积极观赏并参与各项竞技运动，讲公平、善合作、能坚持；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充分调动和发挥体力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心理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、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智力等内在潜力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，养成顽强的拼搏精神。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参与分享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愿意参加班级集体劳动，主动维护教室内外环境卫生等，培养集体荣誉感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；尊重劳动，知道人人都要劳动，感知到劳动的乐趣。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主动参加校内外公益劳动，学会与同伴合作，体会到劳动光荣；乐于通过劳动与他人分享情感与经验，享受劳动的过程。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存志慧动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立志践行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文化传承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诵读浅近的中华文学经典，感受语言的优美，获得初步的情感体验；知道中华民族重要的传统节日，了解家乡的生活习俗；初步知晓传统礼仪，学会待人接物的基本礼节。</w:t>
            </w:r>
          </w:p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善于学习丰富多彩的中华优秀传统文化，诵读经典篇目，体会意境和情感，积极传播优秀文学经典作品；熟知并维护重要传统节日的文化内涵和家乡生活习俗变迁；开始树立人生理想和远大志向，热爱祖国河山、悠久历史和宝贵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体魄强健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养成坚持锻炼的运动习惯，达到国家规定的体质健康合格标准，体测成绩有一定比例优良率。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形成终身锻炼的意识，根据个人体质开展针对性锻炼，提高体质健康水平，达到国家规定的体质健康良好及优秀标准，体测成绩能够达到良好及以上。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主动探索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动手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探究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学会动手，积极尝试，能够掌握多种信息获取和资源处理的使用方法。</w:t>
            </w:r>
          </w:p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乐于动手，大胆尝试，熟练掌握多种探究工具，及时调整方法、优化策略。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问题解决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依据学科学习经验，初步形成解决问题的习惯与思路；初步掌握分析问题和解决问题的一些基本方法，知道同一个问题可以有不同的解决方法。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收集有用的信息，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综合运用学科知识，大胆尝试，积极主动运用多种方式分析问题，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形成多种有效的问题解决方法。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勤于反思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能对任务完成情况进行简单的回顾和评价，具有对自己学习过程进行审视的意识和习惯。</w:t>
            </w:r>
          </w:p>
          <w:p>
            <w:pPr>
              <w:snapToGrid w:val="0"/>
              <w:spacing w:line="240" w:lineRule="exact"/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善于从任务中总结经验与不足，具有评价与反思的能力；能够根据不同情境和自身实际，调整学习策略，优化解决问题的方法。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技术运用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掌握最基本的信息技术基本知识与技能；培养收集信息、整理信息的基本能力；尝试适应合作学习的一般方式；能在一定的道德规范标准下表达自己的想法。</w:t>
            </w:r>
            <w:r>
              <w:rPr>
                <w:rFonts w:ascii="仿宋" w:hAnsi="仿宋" w:eastAsia="仿宋"/>
                <w:b/>
                <w:kern w:val="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在掌握基本信息技术能力的基础上，培养处理信息、利用信息的高阶能力；能通过合作、探究的形式尝试解决一般问题；了解人工智能等新兴技术的发展趋势和未来发展方向。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创意表现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乐于联想与想象，有较强的艺术表现愿望；大胆运用多样的艺术手段表现自己的创意和观点；积极参加艺术类的的创意实践活动。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bCs/>
                <w:kern w:val="0"/>
                <w:sz w:val="21"/>
                <w:szCs w:val="21"/>
              </w:rPr>
              <w:t>能够有创新意识和创意表达能力，能依据自己的个性和喜好；积极进行艺术实践和探索，创作具有个人风格的艺术作品，体验创意的愉悦与成功感。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责任担当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环境适应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遵规守纪，养成规则意识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；亲近自然，初步具有绿色生活方式的意识和行为；了解一些身边的社会问题，有一定的担当。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明理守法，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树立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法治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意识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；尊重自然，保护环境，倡导绿色生活方式；积极参与社会调查、研学实践、志愿服务和公益活动，主动关注身边的社会问题，增强社会责任。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71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劳动创造 </w:t>
            </w:r>
          </w:p>
        </w:tc>
        <w:tc>
          <w:tcPr>
            <w:tcW w:w="1063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低学段能力：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掌握基本的劳动知识和技能，主动、灵活地选择和运用劳动工具和方法，在动手实践的过程中享受劳动创造的乐趣。</w:t>
            </w:r>
          </w:p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中高学段能力：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对身边的劳动工具进行改造和创新设计，善于通过动手操作来解决生活中的实际问题；鼓励学生在学习和借鉴他人丰富经验、技艺的基础上，尝试新方法、探索新技术，推陈出新。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0792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B5"/>
    <w:rsid w:val="0002664F"/>
    <w:rsid w:val="00027521"/>
    <w:rsid w:val="00070C30"/>
    <w:rsid w:val="00094D43"/>
    <w:rsid w:val="000B2CD6"/>
    <w:rsid w:val="00103E34"/>
    <w:rsid w:val="0013783D"/>
    <w:rsid w:val="00152DEB"/>
    <w:rsid w:val="0015441B"/>
    <w:rsid w:val="001770CC"/>
    <w:rsid w:val="0019247E"/>
    <w:rsid w:val="001D139A"/>
    <w:rsid w:val="001D18A8"/>
    <w:rsid w:val="001D4DC8"/>
    <w:rsid w:val="001D7729"/>
    <w:rsid w:val="00265780"/>
    <w:rsid w:val="002749B5"/>
    <w:rsid w:val="00294C2C"/>
    <w:rsid w:val="002D1FA1"/>
    <w:rsid w:val="002E7B15"/>
    <w:rsid w:val="00306925"/>
    <w:rsid w:val="00331B81"/>
    <w:rsid w:val="003B3386"/>
    <w:rsid w:val="003C3E34"/>
    <w:rsid w:val="003D57C2"/>
    <w:rsid w:val="00482F99"/>
    <w:rsid w:val="004B429F"/>
    <w:rsid w:val="004B767F"/>
    <w:rsid w:val="004E5989"/>
    <w:rsid w:val="004F1150"/>
    <w:rsid w:val="0054311F"/>
    <w:rsid w:val="005A66F6"/>
    <w:rsid w:val="005F5132"/>
    <w:rsid w:val="00661099"/>
    <w:rsid w:val="006707E0"/>
    <w:rsid w:val="006C2EBA"/>
    <w:rsid w:val="006C59A3"/>
    <w:rsid w:val="006D359C"/>
    <w:rsid w:val="00716B7E"/>
    <w:rsid w:val="00720A1A"/>
    <w:rsid w:val="00744517"/>
    <w:rsid w:val="00745D26"/>
    <w:rsid w:val="007A7E7F"/>
    <w:rsid w:val="007B72D9"/>
    <w:rsid w:val="00810FEF"/>
    <w:rsid w:val="00821352"/>
    <w:rsid w:val="0085487F"/>
    <w:rsid w:val="008754B1"/>
    <w:rsid w:val="008A6A69"/>
    <w:rsid w:val="008D77FA"/>
    <w:rsid w:val="00906337"/>
    <w:rsid w:val="009712B3"/>
    <w:rsid w:val="00980530"/>
    <w:rsid w:val="00987EB1"/>
    <w:rsid w:val="009B6744"/>
    <w:rsid w:val="009C624D"/>
    <w:rsid w:val="009D3A65"/>
    <w:rsid w:val="00A33DD8"/>
    <w:rsid w:val="00A916B1"/>
    <w:rsid w:val="00AD4DF2"/>
    <w:rsid w:val="00AE7C1B"/>
    <w:rsid w:val="00AF21F2"/>
    <w:rsid w:val="00B01E64"/>
    <w:rsid w:val="00B47A7D"/>
    <w:rsid w:val="00B62B9F"/>
    <w:rsid w:val="00BA7250"/>
    <w:rsid w:val="00BF5E4F"/>
    <w:rsid w:val="00C11DCB"/>
    <w:rsid w:val="00C46C33"/>
    <w:rsid w:val="00C57949"/>
    <w:rsid w:val="00C864F5"/>
    <w:rsid w:val="00D101BB"/>
    <w:rsid w:val="00D37157"/>
    <w:rsid w:val="00D52CEB"/>
    <w:rsid w:val="00D54CBB"/>
    <w:rsid w:val="00DC5552"/>
    <w:rsid w:val="00E64B03"/>
    <w:rsid w:val="00EB33C0"/>
    <w:rsid w:val="00EC4B6C"/>
    <w:rsid w:val="00EE5953"/>
    <w:rsid w:val="00F03348"/>
    <w:rsid w:val="00F56B83"/>
    <w:rsid w:val="00F61265"/>
    <w:rsid w:val="00F64012"/>
    <w:rsid w:val="00F75B31"/>
    <w:rsid w:val="00F85AAF"/>
    <w:rsid w:val="00F86091"/>
    <w:rsid w:val="00FD3019"/>
    <w:rsid w:val="089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NormalCharacter"/>
    <w:semiHidden/>
    <w:uiPriority w:val="0"/>
  </w:style>
  <w:style w:type="paragraph" w:customStyle="1" w:styleId="14">
    <w:name w:val="180"/>
    <w:basedOn w:val="1"/>
    <w:next w:val="1"/>
    <w:qFormat/>
    <w:uiPriority w:val="0"/>
    <w:pPr>
      <w:widowControl/>
      <w:snapToGrid w:val="0"/>
      <w:spacing w:line="360" w:lineRule="auto"/>
      <w:jc w:val="center"/>
      <w:textAlignment w:val="baseline"/>
    </w:pPr>
    <w:rPr>
      <w:rFonts w:ascii="华文仿宋" w:hAnsi="华文仿宋" w:eastAsia="华文仿宋" w:cs="Times New Roman"/>
      <w:sz w:val="28"/>
      <w:szCs w:val="30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551</Words>
  <Characters>3143</Characters>
  <Lines>26</Lines>
  <Paragraphs>7</Paragraphs>
  <TotalTime>0</TotalTime>
  <ScaleCrop>false</ScaleCrop>
  <LinksUpToDate>false</LinksUpToDate>
  <CharactersWithSpaces>3687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2021-08-30T06:21:00Z</dcterms:created>
  <dc:creator>陶 小青</dc:creator>
  <cp:lastModifiedBy>莫一明</cp:lastModifiedBy>
  <cp:lastPrinted>2021-08-30T06:21:00Z</cp:lastPrinted>
  <dcterms:modified xsi:type="dcterms:W3CDTF">2021-08-31T02:16:32Z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