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eastAsia="zh-CN"/>
        </w:rPr>
      </w:pPr>
      <w:bookmarkStart w:id="0" w:name="_GoBack"/>
      <w:bookmarkEnd w:id="0"/>
      <mc:AlternateContent>
        <mc:Choice Requires="wpsCustomData">
          <wpsCustomData:docfieldStart id="0" docfieldname="Content" hidden="0" print="1" readonly="0" index="5"/>
        </mc:Choice>
      </mc:AlternateContent>
      <w:r>
        <w:rPr>
          <w:rFonts w:hint="eastAsia" w:ascii="黑体" w:hAnsi="黑体" w:eastAsia="黑体" w:cs="黑体"/>
          <w:sz w:val="32"/>
          <w:szCs w:val="32"/>
          <w:lang w:eastAsia="zh-CN"/>
        </w:rPr>
        <w:t>附件</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黑体" w:hAnsi="黑体" w:eastAsia="黑体" w:cs="黑体"/>
          <w:sz w:val="32"/>
          <w:szCs w:val="32"/>
          <w:lang w:val="en-US" w:eastAsia="zh-CN"/>
        </w:rPr>
      </w:pPr>
      <w:r>
        <w:rPr>
          <w:rFonts w:hint="eastAsia" w:ascii="方正小标宋简体" w:hAnsi="方正小标宋简体" w:eastAsia="方正小标宋简体" w:cs="方正小标宋简体"/>
          <w:sz w:val="44"/>
          <w:szCs w:val="44"/>
          <w:lang w:val="en-US" w:eastAsia="zh-CN"/>
        </w:rPr>
        <w:t>2026年上海市产业规划类专利导航项目名单</w:t>
      </w:r>
    </w:p>
    <w:tbl>
      <w:tblPr>
        <w:tblStyle w:val="24"/>
        <w:tblW w:w="14100" w:type="dxa"/>
        <w:jc w:val="center"/>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8"/>
        <w:gridCol w:w="4200"/>
        <w:gridCol w:w="3165"/>
        <w:gridCol w:w="5767"/>
      </w:tblGrid>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ign w:val="center"/>
          </w:tcPr>
          <w:p>
            <w:pPr>
              <w:keepNext w:val="0"/>
              <w:keepLines w:val="0"/>
              <w:widowControl/>
              <w:suppressLineNumbers w:val="0"/>
              <w:jc w:val="center"/>
              <w:textAlignment w:val="center"/>
              <w:rPr>
                <w:rFonts w:hint="eastAsia" w:ascii="黑体" w:hAnsi="黑体" w:eastAsia="黑体" w:cs="黑体"/>
                <w:b w:val="0"/>
                <w:bCs w:val="0"/>
                <w:i w:val="0"/>
                <w:color w:val="000000"/>
                <w:kern w:val="0"/>
                <w:sz w:val="30"/>
                <w:szCs w:val="30"/>
                <w:u w:val="none"/>
                <w:lang w:val="en-US" w:eastAsia="zh-CN" w:bidi="ar"/>
              </w:rPr>
            </w:pPr>
            <w:r>
              <w:rPr>
                <w:rFonts w:hint="eastAsia" w:ascii="黑体" w:hAnsi="黑体" w:eastAsia="黑体" w:cs="黑体"/>
                <w:b w:val="0"/>
                <w:bCs w:val="0"/>
                <w:i w:val="0"/>
                <w:color w:val="000000"/>
                <w:kern w:val="0"/>
                <w:sz w:val="30"/>
                <w:szCs w:val="30"/>
                <w:u w:val="none"/>
                <w:lang w:val="en-US" w:eastAsia="zh-CN" w:bidi="ar"/>
              </w:rPr>
              <w:t>序号</w:t>
            </w:r>
          </w:p>
        </w:tc>
        <w:tc>
          <w:tcPr>
            <w:tcW w:w="4200" w:type="dxa"/>
            <w:tcBorders>
              <w:tl2br w:val="nil"/>
              <w:tr2bl w:val="nil"/>
            </w:tcBorders>
            <w:noWrap/>
            <w:vAlign w:val="center"/>
          </w:tcPr>
          <w:p>
            <w:pPr>
              <w:keepNext w:val="0"/>
              <w:keepLines w:val="0"/>
              <w:widowControl/>
              <w:suppressLineNumbers w:val="0"/>
              <w:jc w:val="center"/>
              <w:textAlignment w:val="center"/>
              <w:rPr>
                <w:rFonts w:hint="eastAsia" w:ascii="黑体" w:hAnsi="黑体" w:eastAsia="黑体" w:cs="黑体"/>
                <w:b w:val="0"/>
                <w:bCs w:val="0"/>
                <w:i w:val="0"/>
                <w:color w:val="000000"/>
                <w:kern w:val="0"/>
                <w:sz w:val="30"/>
                <w:szCs w:val="30"/>
                <w:u w:val="none"/>
                <w:lang w:val="en-US" w:eastAsia="zh-CN" w:bidi="ar"/>
              </w:rPr>
            </w:pPr>
            <w:r>
              <w:rPr>
                <w:rFonts w:hint="eastAsia" w:ascii="黑体" w:hAnsi="黑体" w:eastAsia="黑体" w:cs="黑体"/>
                <w:b w:val="0"/>
                <w:bCs w:val="0"/>
                <w:i w:val="0"/>
                <w:color w:val="000000"/>
                <w:kern w:val="0"/>
                <w:sz w:val="30"/>
                <w:szCs w:val="30"/>
                <w:u w:val="none"/>
                <w:lang w:val="en-US" w:eastAsia="zh-CN" w:bidi="ar"/>
              </w:rPr>
              <w:t>产业类别</w:t>
            </w:r>
          </w:p>
        </w:tc>
        <w:tc>
          <w:tcPr>
            <w:tcW w:w="3165" w:type="dxa"/>
            <w:tcBorders>
              <w:tl2br w:val="nil"/>
              <w:tr2bl w:val="nil"/>
            </w:tcBorders>
            <w:noWrap/>
            <w:vAlign w:val="center"/>
          </w:tcPr>
          <w:p>
            <w:pPr>
              <w:keepNext w:val="0"/>
              <w:keepLines w:val="0"/>
              <w:widowControl/>
              <w:suppressLineNumbers w:val="0"/>
              <w:jc w:val="center"/>
              <w:textAlignment w:val="center"/>
              <w:rPr>
                <w:rFonts w:hint="eastAsia" w:ascii="黑体" w:hAnsi="黑体" w:eastAsia="黑体" w:cs="黑体"/>
                <w:b w:val="0"/>
                <w:bCs w:val="0"/>
                <w:i w:val="0"/>
                <w:color w:val="000000"/>
                <w:kern w:val="0"/>
                <w:sz w:val="30"/>
                <w:szCs w:val="30"/>
                <w:u w:val="none"/>
                <w:lang w:val="en-US" w:eastAsia="zh-CN" w:bidi="ar"/>
              </w:rPr>
            </w:pPr>
            <w:r>
              <w:rPr>
                <w:rFonts w:hint="eastAsia" w:ascii="黑体" w:hAnsi="黑体" w:eastAsia="黑体" w:cs="黑体"/>
                <w:b w:val="0"/>
                <w:bCs w:val="0"/>
                <w:i w:val="0"/>
                <w:color w:val="000000"/>
                <w:kern w:val="0"/>
                <w:sz w:val="30"/>
                <w:szCs w:val="30"/>
                <w:u w:val="none"/>
                <w:lang w:val="en-US" w:eastAsia="zh-CN" w:bidi="ar"/>
              </w:rPr>
              <w:t>申报单位</w:t>
            </w:r>
          </w:p>
        </w:tc>
        <w:tc>
          <w:tcPr>
            <w:tcW w:w="5767" w:type="dxa"/>
            <w:tcBorders>
              <w:tl2br w:val="nil"/>
              <w:tr2bl w:val="nil"/>
            </w:tcBorders>
            <w:noWrap/>
            <w:vAlign w:val="center"/>
          </w:tcPr>
          <w:p>
            <w:pPr>
              <w:keepNext w:val="0"/>
              <w:keepLines w:val="0"/>
              <w:widowControl/>
              <w:suppressLineNumbers w:val="0"/>
              <w:jc w:val="center"/>
              <w:textAlignment w:val="center"/>
              <w:rPr>
                <w:rFonts w:hint="eastAsia" w:ascii="黑体" w:hAnsi="黑体" w:eastAsia="黑体" w:cs="黑体"/>
                <w:b w:val="0"/>
                <w:bCs w:val="0"/>
                <w:i w:val="0"/>
                <w:color w:val="000000"/>
                <w:kern w:val="0"/>
                <w:sz w:val="30"/>
                <w:szCs w:val="30"/>
                <w:u w:val="none"/>
                <w:lang w:val="en-US" w:eastAsia="zh-CN" w:bidi="ar"/>
              </w:rPr>
            </w:pPr>
            <w:r>
              <w:rPr>
                <w:rFonts w:hint="eastAsia" w:ascii="黑体" w:hAnsi="黑体" w:eastAsia="黑体" w:cs="黑体"/>
                <w:b w:val="0"/>
                <w:bCs w:val="0"/>
                <w:i w:val="0"/>
                <w:color w:val="000000"/>
                <w:kern w:val="0"/>
                <w:sz w:val="30"/>
                <w:szCs w:val="30"/>
                <w:u w:val="none"/>
                <w:lang w:val="en-US" w:eastAsia="zh-CN" w:bidi="ar"/>
              </w:rPr>
              <w:t>承担单位</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1</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浦东新区具身智能产业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浦东新区知识产权局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上海华进知识产权服务有限公司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2</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浦东新区创新药产业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浦东新区知识产权局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上海汉之光华知识产权服务有限公司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68"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3</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浦东新区集成电路产业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浦东新区知识产权局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上海国际知识产权运营管理有限公司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4</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黄浦区绿色智能船舶产业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黄浦区知识产权局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上海申汇专利代理有限公司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5</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静安区智能控制技术产业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静安区知识产权局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上海智稻知识产权咨询服务有限公司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6</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徐汇区智能体产业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徐汇区知识产权局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上海专利商标事务所有限公司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7</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普陀区网络安全产业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普陀区知识产权局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上海光华专利事务所（普通合伙）</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8</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虹口区智能检测产业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虹口区知识产权局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上海图书馆（上海科学技术情报研究所、上海市古籍保护中心）</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9</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长宁区低空经济产业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长宁区知识产权局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上海光华专利事务所（普通合伙）</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10</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杨浦区绿色低碳与未来能源产业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杨浦区知识产权局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上海汉之律师事务所</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11</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宝山区海上发电装备产业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宝山区知识产权局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上海恒慧知识产权代理事务所（特殊普通合伙）</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12</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宝山区新能源汽车产业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宝山区知识产权局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上海微略知识产权代理有限公司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13</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闵行区低空经济产业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闵行区知识产权局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上海闵霁信息咨询服务有限公司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14</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闵行区脑机接口产业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闵行区知识产权局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上海专利商标事务所有限公司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15</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嘉定区</w:t>
            </w:r>
            <w:r>
              <w:rPr>
                <w:rStyle w:val="56"/>
                <w:rFonts w:hint="eastAsia" w:ascii="仿宋_GB2312" w:hAnsi="仿宋_GB2312" w:eastAsia="仿宋_GB2312" w:cs="仿宋_GB2312"/>
                <w:color w:val="auto"/>
                <w:sz w:val="30"/>
                <w:szCs w:val="30"/>
                <w:lang w:val="en-US" w:eastAsia="zh-CN" w:bidi="ar"/>
              </w:rPr>
              <w:t>MEMS</w:t>
            </w:r>
            <w:r>
              <w:rPr>
                <w:rFonts w:hint="eastAsia" w:ascii="仿宋_GB2312" w:hAnsi="仿宋_GB2312" w:eastAsia="仿宋_GB2312" w:cs="仿宋_GB2312"/>
                <w:i w:val="0"/>
                <w:iCs w:val="0"/>
                <w:color w:val="auto"/>
                <w:kern w:val="0"/>
                <w:sz w:val="30"/>
                <w:szCs w:val="30"/>
                <w:u w:val="none"/>
                <w:lang w:val="en-US" w:eastAsia="zh-CN" w:bidi="ar"/>
              </w:rPr>
              <w:t>与车规级传感芯片产业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嘉定区知识产权局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上海国际知识产权运营管理有限公司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sz w:val="30"/>
                <w:szCs w:val="30"/>
              </w:rPr>
              <w:t>16</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嘉定区高端医疗装备产业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嘉定区知识产权局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上海恒慧知识产权服务有限公司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17</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金山区生物基材料产业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金山区知识产权局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上海专利商标事务所有限公司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18</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金山区高端化工新材料产业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金山区知识产权局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上海邦德专利代理事务所（普通合伙）</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19</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松江区植介入生物相容性材料产业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松江区知识产权局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上海图书馆（上海科学技术情报研究所、上海市古籍保护中心）</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20</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青浦区时空智能终端产业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青浦区知识产权局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上海智勤知识产权咨询服务有限公司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21</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青浦区集成电路装备产业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青浦区知识产权局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上海泰能知识产权服务有限公司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22</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奉贤区绿色新能源产业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奉贤区知识产权局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上海汉盛律师事务所</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23</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崇明区海洋装备配套绿色智造产业</w:t>
            </w:r>
          </w:p>
        </w:tc>
        <w:tc>
          <w:tcPr>
            <w:tcW w:w="3165"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崇明区知识产权局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上海国际知识产权运营管理有限公司</w:t>
            </w:r>
          </w:p>
        </w:tc>
      </w:tr>
      <w:tr>
        <w:tblPrEx>
          <w:tblBorders>
            <w:top w:val="single" w:color="000000" w:sz="8"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tcBorders>
              <w:tl2br w:val="nil"/>
              <w:tr2bl w:val="nil"/>
            </w:tcBorders>
            <w:noWrap w:val="0"/>
            <w:vAlign w:val="center"/>
          </w:tcPr>
          <w:p>
            <w:pPr>
              <w:spacing w:beforeLines="0" w:afterLines="0"/>
              <w:jc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24</w:t>
            </w:r>
          </w:p>
        </w:tc>
        <w:tc>
          <w:tcPr>
            <w:tcW w:w="420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临港新片区半导体量检测技术产业</w:t>
            </w:r>
          </w:p>
        </w:tc>
        <w:tc>
          <w:tcPr>
            <w:tcW w:w="316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30"/>
                <w:szCs w:val="30"/>
                <w:u w:val="none"/>
                <w:lang w:val="en-US" w:eastAsia="zh-CN" w:bidi="ar"/>
              </w:rPr>
            </w:pPr>
            <w:r>
              <w:rPr>
                <w:rFonts w:hint="eastAsia" w:ascii="仿宋_GB2312" w:hAnsi="仿宋_GB2312" w:eastAsia="仿宋_GB2312" w:cs="仿宋_GB2312"/>
                <w:i w:val="0"/>
                <w:color w:val="000000"/>
                <w:kern w:val="0"/>
                <w:sz w:val="30"/>
                <w:szCs w:val="30"/>
                <w:u w:val="none"/>
                <w:lang w:val="en-US" w:eastAsia="zh-CN" w:bidi="ar"/>
              </w:rPr>
              <w:t>临港新片区市场监管局</w:t>
            </w:r>
          </w:p>
        </w:tc>
        <w:tc>
          <w:tcPr>
            <w:tcW w:w="57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30"/>
                <w:szCs w:val="30"/>
                <w:u w:val="none"/>
                <w:lang w:val="en-US" w:eastAsia="zh-CN" w:bidi="ar-SA"/>
              </w:rPr>
            </w:pPr>
            <w:r>
              <w:rPr>
                <w:rFonts w:hint="eastAsia" w:ascii="仿宋_GB2312" w:hAnsi="仿宋_GB2312" w:eastAsia="仿宋_GB2312" w:cs="仿宋_GB2312"/>
                <w:i w:val="0"/>
                <w:iCs w:val="0"/>
                <w:color w:val="auto"/>
                <w:kern w:val="0"/>
                <w:sz w:val="30"/>
                <w:szCs w:val="30"/>
                <w:u w:val="none"/>
                <w:lang w:val="en-US" w:eastAsia="zh-CN" w:bidi="ar"/>
              </w:rPr>
              <w:t>上海上专知识产权服务有限公司</w:t>
            </w:r>
          </w:p>
        </w:tc>
      </w:tr>
    </w:tbl>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r>
        <w:rPr>
          <w:rFonts w:hint="eastAsia" w:ascii="方正小标宋简体" w:hAnsi="方正小标宋简体" w:eastAsia="方正小标宋简体" w:cs="方正小标宋简体"/>
          <w:sz w:val="44"/>
          <w:szCs w:val="44"/>
          <w:lang w:val="en-US" w:eastAsia="zh-CN"/>
        </w:rPr>
        <w:t>2026年上海市研发活动类专利导航项目名单</w:t>
      </w:r>
    </w:p>
    <w:tbl>
      <w:tblPr>
        <w:tblStyle w:val="24"/>
        <w:tblW w:w="144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9"/>
        <w:gridCol w:w="7848"/>
        <w:gridCol w:w="5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auto"/>
                <w:sz w:val="30"/>
                <w:szCs w:val="30"/>
                <w:u w:val="none"/>
              </w:rPr>
            </w:pPr>
            <w:r>
              <w:rPr>
                <w:rFonts w:hint="eastAsia" w:ascii="黑体" w:hAnsi="黑体" w:eastAsia="黑体" w:cs="黑体"/>
                <w:i w:val="0"/>
                <w:iCs w:val="0"/>
                <w:color w:val="auto"/>
                <w:kern w:val="0"/>
                <w:sz w:val="30"/>
                <w:szCs w:val="30"/>
                <w:u w:val="none"/>
                <w:lang w:val="en-US" w:eastAsia="zh-CN" w:bidi="ar"/>
              </w:rPr>
              <w:t>序号</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auto"/>
                <w:kern w:val="2"/>
                <w:sz w:val="30"/>
                <w:szCs w:val="30"/>
                <w:u w:val="none"/>
                <w:lang w:val="en-US" w:eastAsia="zh-CN" w:bidi="ar-SA"/>
              </w:rPr>
            </w:pPr>
            <w:r>
              <w:rPr>
                <w:rFonts w:hint="eastAsia" w:ascii="黑体" w:hAnsi="黑体" w:eastAsia="黑体" w:cs="黑体"/>
                <w:i w:val="0"/>
                <w:iCs w:val="0"/>
                <w:color w:val="auto"/>
                <w:kern w:val="0"/>
                <w:sz w:val="30"/>
                <w:szCs w:val="30"/>
                <w:u w:val="none"/>
                <w:lang w:val="en-US" w:eastAsia="zh-CN" w:bidi="ar"/>
              </w:rPr>
              <w:t>项目名称</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i w:val="0"/>
                <w:iCs w:val="0"/>
                <w:color w:val="auto"/>
                <w:sz w:val="30"/>
                <w:szCs w:val="30"/>
                <w:u w:val="none"/>
              </w:rPr>
            </w:pPr>
            <w:r>
              <w:rPr>
                <w:rFonts w:hint="eastAsia" w:ascii="黑体" w:hAnsi="黑体" w:eastAsia="黑体" w:cs="黑体"/>
                <w:i w:val="0"/>
                <w:iCs w:val="0"/>
                <w:color w:val="auto"/>
                <w:kern w:val="0"/>
                <w:sz w:val="30"/>
                <w:szCs w:val="30"/>
                <w:u w:val="none"/>
                <w:lang w:val="en-US" w:eastAsia="zh-CN" w:bidi="ar"/>
              </w:rPr>
              <w:t>申报单位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中性原子量子计算专利导航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中国科学院上海光学精密机械研究所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2</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AI多智能体靶标发现技术专利导航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临港实验室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3</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塑性卤化物基钠离子超快导体及其在宽温域固态电池中的应用专利导航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中国科学院上海硅酸盐研究所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4</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半导体图形化专利导航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张江实验室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5</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商业航天货物运输系统关键技术专利导航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中国科学院微小卫星创新研究院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6</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AI服务器用高速高频覆铜板专利导航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南亚新材料科技股份有限公司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7</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“氮肥替代”植物高效共生固氮菌剂产品开发专利导航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中国科学院分子植物科学卓越创新中心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8</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核动力商船关键技术专利导航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江南造船（集团）有限责任公司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9</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全高度适配风电塔筒关键技术专利导航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上海风领新能源有限公司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10</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基于FEL先进光源并行光刻技术专利导航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上海滴水微光科技有限公司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11</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原发性免疫缺陷病精准诊疗关键技术专利导航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上海市公共卫生临床中心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12</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精神疾病诊疗领域非侵入性脑机接口与神经调控关键技术专利导航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上海市精神卫生中心(上海市心理咨询培训中心)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13</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大模型可信生成与智能验证平台专利导航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上海人工智能研究院有限公司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14</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硫化物全固态电池关键技术专利导航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上海屹锂新能源科技有限公司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15</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分子动力学应用系统专利导航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上海思朗科技股份有限公司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16</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空间型ALD设备专利导航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理想晶延半导体设备（上海）股份有限公司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17</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生物医用材料交联产品及其应用专利导航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上海其胜生物制剂有限公司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30"/>
                <w:szCs w:val="30"/>
                <w:u w:val="none"/>
              </w:rPr>
            </w:pPr>
            <w:r>
              <w:rPr>
                <w:rFonts w:hint="eastAsia" w:ascii="仿宋_GB2312" w:hAnsi="仿宋_GB2312" w:eastAsia="仿宋_GB2312" w:cs="仿宋_GB2312"/>
                <w:i w:val="0"/>
                <w:iCs w:val="0"/>
                <w:color w:val="auto"/>
                <w:kern w:val="0"/>
                <w:sz w:val="30"/>
                <w:szCs w:val="30"/>
                <w:u w:val="none"/>
                <w:lang w:val="en-US" w:eastAsia="zh-CN" w:bidi="ar"/>
              </w:rPr>
              <w:t>18</w:t>
            </w:r>
          </w:p>
        </w:tc>
        <w:tc>
          <w:tcPr>
            <w:tcW w:w="7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新能源汽车底盘智能控制技术专利导航</w:t>
            </w:r>
          </w:p>
        </w:tc>
        <w:tc>
          <w:tcPr>
            <w:tcW w:w="53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30"/>
                <w:szCs w:val="30"/>
                <w:u w:val="none"/>
                <w:lang w:val="en-US" w:eastAsia="zh-CN" w:bidi="ar"/>
              </w:rPr>
            </w:pPr>
            <w:r>
              <w:rPr>
                <w:rFonts w:hint="eastAsia" w:ascii="仿宋_GB2312" w:hAnsi="仿宋_GB2312" w:eastAsia="仿宋_GB2312" w:cs="仿宋_GB2312"/>
                <w:i w:val="0"/>
                <w:iCs w:val="0"/>
                <w:color w:val="auto"/>
                <w:kern w:val="0"/>
                <w:sz w:val="30"/>
                <w:szCs w:val="30"/>
                <w:u w:val="none"/>
                <w:lang w:val="en-US" w:eastAsia="zh-CN" w:bidi="ar"/>
              </w:rPr>
              <w:t>上海精智实业股份有限公司</w:t>
            </w:r>
          </w:p>
        </w:tc>
      </w:tr>
    </w:tbl>
    <w:p>
      <w:pPr>
        <w:pStyle w:val="2"/>
        <w:ind w:left="0" w:leftChars="0" w:firstLine="0" w:firstLineChars="0"/>
        <w:rPr>
          <w:rFonts w:hint="default"/>
          <w:lang w:val="en-US" w:eastAsia="zh-CN"/>
        </w:rPr>
      </w:pPr>
    </w:p>
    <mc:AlternateContent>
      <mc:Choice Requires="wpsCustomData">
        <wpsCustomData:docfieldEnd id="0"/>
      </mc:Choice>
    </mc:AlternateContent>
    <w:p>
      <w:pPr>
        <w:pStyle w:val="2"/>
        <w:rPr>
          <w:rFonts w:hint="eastAsia" w:ascii="仿宋_GB2312" w:hAnsi="仿宋_GB2312" w:eastAsia="仿宋_GB2312" w:cs="仿宋_GB2312"/>
          <w:color w:val="000000"/>
          <w:kern w:val="0"/>
          <w:sz w:val="32"/>
          <w:szCs w:val="32"/>
        </w:rPr>
      </w:pPr>
    </w:p>
    <w:p>
      <w:pPr>
        <w:pStyle w:val="2"/>
        <w:rPr>
          <w:rFonts w:hint="eastAsia" w:ascii="仿宋_GB2312" w:hAnsi="仿宋_GB2312" w:eastAsia="仿宋_GB2312" w:cs="仿宋_GB2312"/>
          <w:color w:val="000000"/>
          <w:kern w:val="0"/>
          <w:sz w:val="32"/>
          <w:szCs w:val="32"/>
        </w:rPr>
      </w:pPr>
    </w:p>
    <w:p>
      <w:pPr>
        <w:pStyle w:val="2"/>
        <w:rPr>
          <w:rFonts w:hint="eastAsia" w:ascii="仿宋_GB2312" w:hAnsi="仿宋_GB2312" w:eastAsia="仿宋_GB2312" w:cs="仿宋_GB2312"/>
          <w:color w:val="000000"/>
          <w:kern w:val="0"/>
          <w:sz w:val="32"/>
          <w:szCs w:val="32"/>
        </w:rPr>
      </w:pPr>
    </w:p>
    <w:p>
      <w:pPr>
        <w:adjustRightInd w:val="0"/>
        <w:snapToGrid w:val="0"/>
        <w:spacing w:line="336" w:lineRule="auto"/>
        <w:ind w:firstLine="284"/>
        <w:rPr>
          <w:rFonts w:hint="eastAsia"/>
          <w:sz w:val="28"/>
          <w:szCs w:val="28"/>
        </w:rPr>
      </w:pPr>
    </w:p>
    <w:sectPr>
      <w:headerReference r:id="rId3" w:type="default"/>
      <w:footerReference r:id="rId4" w:type="default"/>
      <w:footerReference r:id="rId5" w:type="even"/>
      <w:pgSz w:w="16838" w:h="11906" w:orient="landscape"/>
      <w:pgMar w:top="1587" w:right="1531" w:bottom="1587" w:left="1531"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文泉驿微米黑"/>
    <w:panose1 w:val="00000000000000000000"/>
    <w:charset w:val="00"/>
    <w:family w:val="auto"/>
    <w:pitch w:val="default"/>
    <w:sig w:usb0="00000000" w:usb1="00000000" w:usb2="00000000" w:usb3="00000000" w:csb0="00040001" w:csb1="00000000"/>
  </w:font>
  <w:font w:name="文泉驿微米黑">
    <w:panose1 w:val="020B0606030804020204"/>
    <w:charset w:val="86"/>
    <w:family w:val="auto"/>
    <w:pitch w:val="default"/>
    <w:sig w:usb0="E10002EF" w:usb1="6BDFFCFB" w:usb2="00800036" w:usb3="00000000" w:csb0="603E019F" w:csb1="DFD7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Liberation Sans">
    <w:altName w:val="DejaVu Sans"/>
    <w:panose1 w:val="020B0604020202020204"/>
    <w:charset w:val="00"/>
    <w:family w:val="swiss"/>
    <w:pitch w:val="default"/>
    <w:sig w:usb0="00000000" w:usb1="00000000" w:usb2="00000000" w:usb3="00000000" w:csb0="6000009F" w:csb1="DFD70000"/>
  </w:font>
  <w:font w:name="Noto Sans CJK SC Regular">
    <w:panose1 w:val="020B0500000000000000"/>
    <w:charset w:val="86"/>
    <w:family w:val="auto"/>
    <w:pitch w:val="default"/>
    <w:sig w:usb0="30000003" w:usb1="2BDF3C10" w:usb2="00000016" w:usb3="00000000" w:csb0="602E0107"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pNYMMwIAAGMEAAAOAAAAZHJz&#10;L2Uyb0RvYy54bWytVM2O0zAQviPxDpbvNG3Rrq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ZHT6ytKNFOo+PnH9/PP3+df3wjOIFBj/RxxDxaRoX1nWrTNcO5xGHm3pVPxC0YE&#10;fsh7usgr2kB4vDSbzmZjuDh8wwb42dN163x4L4wi0cipQ/2SrOy49aELHUJiNm02tZSphlKTBiTe&#10;Xo3ThYsH4FIjRyTRPTZaod21PbOdKU4g5kzXG97yTY3kW+bDPXNoBjwY4xLusJTSIInpLUoq477+&#10;6zzGo0bwUtKguXKqMUuUyA8atQNgGAw3GLvB0Ad1a9CtE4yh5cnEBRfkYJbOqC+YoVXMARfTHJly&#10;GgbzNnQNjhnkYrVKQQfr6n3VXUDnWRa2+sHymCYK6e3qECBm0jgK1KnS64beS1Xq5yQ295/7FPX0&#10;b1g+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FAAAAAgAh07iQIoUZjzRAAAAlAEAAAsAAAAA&#10;AAAAAQAgAAAAuAMAAF9yZWxzLy5yZWxzUEsBAhQACgAAAAAAh07iQAAAAAAAAAAAAAAAAAYAAAAA&#10;AAAAAAAQAAAAlAMAAF9yZWxzL1BLAQIUABQAAAAIAIdO4kCPpNYMMwIAAGMEAAAOAAAAAAAAAAEA&#10;IAAAADUBAABkcnMvZTJvRG9jLnhtbFBLAQIUABQAAAAIAIdO4kCzSVju0AAAAAUBAAAPAAAAAAAA&#10;AAEAIAAAADgAAABkcnMvZG93bnJldi54bWxQSwECFAAKAAAAAACHTuJAAAAAAAAAAAAAAAAABAAA&#10;AAAAAAAAABAAAAAWAAAAZHJzL1BLBQYAAAAABgAGAFkBAADa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hint="eastAsia"/>
        <w:sz w:val="24"/>
        <w:szCs w:val="24"/>
      </w:rPr>
    </w:pPr>
    <w:r>
      <w:rPr>
        <w:rFonts w:hint="eastAsia" w:ascii="宋体" w:hAnsi="宋体"/>
        <w:sz w:val="24"/>
        <w:szCs w:val="24"/>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Fonts w:hint="eastAsia" w:ascii="宋体" w:hAnsi="宋体"/>
        <w:sz w:val="24"/>
        <w:szCs w:val="24"/>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000000"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3"/>
  <w:drawingGridVerticalSpacing w:val="27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zczODEzYWY4NDljYTc4YTQ5NDVkMzVhOTMwOWQifQ=="/>
  </w:docVars>
  <w:rsids>
    <w:rsidRoot w:val="00000000"/>
    <w:rsid w:val="00010DA7"/>
    <w:rsid w:val="00011592"/>
    <w:rsid w:val="00014125"/>
    <w:rsid w:val="000210E3"/>
    <w:rsid w:val="00026F25"/>
    <w:rsid w:val="000337A5"/>
    <w:rsid w:val="00042F3F"/>
    <w:rsid w:val="00052008"/>
    <w:rsid w:val="00054017"/>
    <w:rsid w:val="00054F43"/>
    <w:rsid w:val="00061353"/>
    <w:rsid w:val="000650BB"/>
    <w:rsid w:val="0007008F"/>
    <w:rsid w:val="00073729"/>
    <w:rsid w:val="00074E42"/>
    <w:rsid w:val="000A06E5"/>
    <w:rsid w:val="000B3E59"/>
    <w:rsid w:val="000D077C"/>
    <w:rsid w:val="000D2D9A"/>
    <w:rsid w:val="000D6AAF"/>
    <w:rsid w:val="000E0ED6"/>
    <w:rsid w:val="000F3D74"/>
    <w:rsid w:val="000F3DE8"/>
    <w:rsid w:val="00103ADC"/>
    <w:rsid w:val="001107B5"/>
    <w:rsid w:val="001113AD"/>
    <w:rsid w:val="001205E1"/>
    <w:rsid w:val="00124005"/>
    <w:rsid w:val="0016431C"/>
    <w:rsid w:val="0017694B"/>
    <w:rsid w:val="00184F34"/>
    <w:rsid w:val="001858DD"/>
    <w:rsid w:val="001A08F3"/>
    <w:rsid w:val="001C3AC7"/>
    <w:rsid w:val="001D04B0"/>
    <w:rsid w:val="001D059B"/>
    <w:rsid w:val="002011F9"/>
    <w:rsid w:val="00202F9D"/>
    <w:rsid w:val="0020744A"/>
    <w:rsid w:val="002076ED"/>
    <w:rsid w:val="002169C8"/>
    <w:rsid w:val="00226566"/>
    <w:rsid w:val="00271F90"/>
    <w:rsid w:val="0027491B"/>
    <w:rsid w:val="00277759"/>
    <w:rsid w:val="00285E36"/>
    <w:rsid w:val="00290E77"/>
    <w:rsid w:val="00291E6F"/>
    <w:rsid w:val="002A7A1E"/>
    <w:rsid w:val="002A7B50"/>
    <w:rsid w:val="002B71EB"/>
    <w:rsid w:val="002B7C00"/>
    <w:rsid w:val="002D3A3B"/>
    <w:rsid w:val="002E1DA4"/>
    <w:rsid w:val="002E63F4"/>
    <w:rsid w:val="00302E3A"/>
    <w:rsid w:val="00316861"/>
    <w:rsid w:val="0032417B"/>
    <w:rsid w:val="003572AD"/>
    <w:rsid w:val="00361808"/>
    <w:rsid w:val="0038227A"/>
    <w:rsid w:val="00384FF0"/>
    <w:rsid w:val="00385B40"/>
    <w:rsid w:val="003919AC"/>
    <w:rsid w:val="003930E6"/>
    <w:rsid w:val="003A1C2C"/>
    <w:rsid w:val="003A3B67"/>
    <w:rsid w:val="003B2F81"/>
    <w:rsid w:val="003B612E"/>
    <w:rsid w:val="003C0E61"/>
    <w:rsid w:val="003C69AC"/>
    <w:rsid w:val="00416595"/>
    <w:rsid w:val="00422BF3"/>
    <w:rsid w:val="00422E2B"/>
    <w:rsid w:val="00425391"/>
    <w:rsid w:val="00427B77"/>
    <w:rsid w:val="00431CD1"/>
    <w:rsid w:val="00434DD7"/>
    <w:rsid w:val="00442CCA"/>
    <w:rsid w:val="00451B98"/>
    <w:rsid w:val="0045229C"/>
    <w:rsid w:val="00473279"/>
    <w:rsid w:val="004779B6"/>
    <w:rsid w:val="00482326"/>
    <w:rsid w:val="00483240"/>
    <w:rsid w:val="004945E8"/>
    <w:rsid w:val="004961BE"/>
    <w:rsid w:val="004A2E97"/>
    <w:rsid w:val="004A7BB9"/>
    <w:rsid w:val="004B2088"/>
    <w:rsid w:val="004B6C4B"/>
    <w:rsid w:val="004D7F18"/>
    <w:rsid w:val="004E3CAB"/>
    <w:rsid w:val="004E4483"/>
    <w:rsid w:val="004E6ADE"/>
    <w:rsid w:val="004F0F63"/>
    <w:rsid w:val="004F5440"/>
    <w:rsid w:val="0051003A"/>
    <w:rsid w:val="00514717"/>
    <w:rsid w:val="005306FE"/>
    <w:rsid w:val="0056298C"/>
    <w:rsid w:val="00563118"/>
    <w:rsid w:val="00565B9C"/>
    <w:rsid w:val="00571A43"/>
    <w:rsid w:val="00574C97"/>
    <w:rsid w:val="00585E64"/>
    <w:rsid w:val="005A48DE"/>
    <w:rsid w:val="005A5187"/>
    <w:rsid w:val="005B49C7"/>
    <w:rsid w:val="005C2EB2"/>
    <w:rsid w:val="005C3EDE"/>
    <w:rsid w:val="005E2C22"/>
    <w:rsid w:val="006115E2"/>
    <w:rsid w:val="00615D06"/>
    <w:rsid w:val="00616D7F"/>
    <w:rsid w:val="006205B8"/>
    <w:rsid w:val="00650D52"/>
    <w:rsid w:val="00651A83"/>
    <w:rsid w:val="006536A4"/>
    <w:rsid w:val="0065696E"/>
    <w:rsid w:val="006634D0"/>
    <w:rsid w:val="0067386E"/>
    <w:rsid w:val="00674ED7"/>
    <w:rsid w:val="00695E96"/>
    <w:rsid w:val="006E086B"/>
    <w:rsid w:val="006E24A0"/>
    <w:rsid w:val="007016D4"/>
    <w:rsid w:val="00704B94"/>
    <w:rsid w:val="007056F0"/>
    <w:rsid w:val="00732427"/>
    <w:rsid w:val="00746435"/>
    <w:rsid w:val="007668CD"/>
    <w:rsid w:val="0079152D"/>
    <w:rsid w:val="007A3929"/>
    <w:rsid w:val="007A5F65"/>
    <w:rsid w:val="007B127F"/>
    <w:rsid w:val="007B3386"/>
    <w:rsid w:val="007B4BB5"/>
    <w:rsid w:val="007B734C"/>
    <w:rsid w:val="007D1EB0"/>
    <w:rsid w:val="007D422F"/>
    <w:rsid w:val="007F06CA"/>
    <w:rsid w:val="007F686A"/>
    <w:rsid w:val="00800300"/>
    <w:rsid w:val="00807BAC"/>
    <w:rsid w:val="0082573A"/>
    <w:rsid w:val="008309FB"/>
    <w:rsid w:val="00853149"/>
    <w:rsid w:val="00855C24"/>
    <w:rsid w:val="00856B88"/>
    <w:rsid w:val="00857730"/>
    <w:rsid w:val="00857F8A"/>
    <w:rsid w:val="00870525"/>
    <w:rsid w:val="00873942"/>
    <w:rsid w:val="00873BAB"/>
    <w:rsid w:val="00874E42"/>
    <w:rsid w:val="00883693"/>
    <w:rsid w:val="008860B5"/>
    <w:rsid w:val="008920A1"/>
    <w:rsid w:val="00896882"/>
    <w:rsid w:val="008A3486"/>
    <w:rsid w:val="008A7F6B"/>
    <w:rsid w:val="008B529C"/>
    <w:rsid w:val="008C4442"/>
    <w:rsid w:val="008D068C"/>
    <w:rsid w:val="008D2218"/>
    <w:rsid w:val="008F0942"/>
    <w:rsid w:val="008F59D9"/>
    <w:rsid w:val="00925B39"/>
    <w:rsid w:val="00930696"/>
    <w:rsid w:val="00930A00"/>
    <w:rsid w:val="009313F7"/>
    <w:rsid w:val="009317C6"/>
    <w:rsid w:val="009503D1"/>
    <w:rsid w:val="00950A6B"/>
    <w:rsid w:val="009667C2"/>
    <w:rsid w:val="0097134A"/>
    <w:rsid w:val="0097546C"/>
    <w:rsid w:val="00981770"/>
    <w:rsid w:val="00982628"/>
    <w:rsid w:val="009902F7"/>
    <w:rsid w:val="009913B8"/>
    <w:rsid w:val="009A0200"/>
    <w:rsid w:val="009A6C1C"/>
    <w:rsid w:val="009B0A36"/>
    <w:rsid w:val="009B0BC2"/>
    <w:rsid w:val="009B12AD"/>
    <w:rsid w:val="009B15C3"/>
    <w:rsid w:val="009B5E6C"/>
    <w:rsid w:val="009B70C2"/>
    <w:rsid w:val="009F5D39"/>
    <w:rsid w:val="009F7D59"/>
    <w:rsid w:val="00A03ABE"/>
    <w:rsid w:val="00A044B5"/>
    <w:rsid w:val="00A14591"/>
    <w:rsid w:val="00A24119"/>
    <w:rsid w:val="00A34296"/>
    <w:rsid w:val="00A51AEC"/>
    <w:rsid w:val="00A710B5"/>
    <w:rsid w:val="00A71B28"/>
    <w:rsid w:val="00AA69B9"/>
    <w:rsid w:val="00AC3CD2"/>
    <w:rsid w:val="00AD041D"/>
    <w:rsid w:val="00AE6428"/>
    <w:rsid w:val="00AF18E1"/>
    <w:rsid w:val="00AF6212"/>
    <w:rsid w:val="00B0431A"/>
    <w:rsid w:val="00B0716D"/>
    <w:rsid w:val="00B12AFB"/>
    <w:rsid w:val="00B1476D"/>
    <w:rsid w:val="00B163CD"/>
    <w:rsid w:val="00B43C02"/>
    <w:rsid w:val="00B44BFF"/>
    <w:rsid w:val="00B471FD"/>
    <w:rsid w:val="00B53582"/>
    <w:rsid w:val="00B55290"/>
    <w:rsid w:val="00B56EA6"/>
    <w:rsid w:val="00B646D1"/>
    <w:rsid w:val="00B65DBC"/>
    <w:rsid w:val="00B81D44"/>
    <w:rsid w:val="00B858A2"/>
    <w:rsid w:val="00B95548"/>
    <w:rsid w:val="00BB4948"/>
    <w:rsid w:val="00BB6C2C"/>
    <w:rsid w:val="00BC2D4F"/>
    <w:rsid w:val="00BC3A5A"/>
    <w:rsid w:val="00BC5A12"/>
    <w:rsid w:val="00BC6D0E"/>
    <w:rsid w:val="00BE125D"/>
    <w:rsid w:val="00BE1DAE"/>
    <w:rsid w:val="00BF5283"/>
    <w:rsid w:val="00C06D7E"/>
    <w:rsid w:val="00C10408"/>
    <w:rsid w:val="00C1308E"/>
    <w:rsid w:val="00C15D63"/>
    <w:rsid w:val="00C178CD"/>
    <w:rsid w:val="00C238BD"/>
    <w:rsid w:val="00C41841"/>
    <w:rsid w:val="00C4420B"/>
    <w:rsid w:val="00C4708E"/>
    <w:rsid w:val="00C4715D"/>
    <w:rsid w:val="00C55FBD"/>
    <w:rsid w:val="00C6672C"/>
    <w:rsid w:val="00C70747"/>
    <w:rsid w:val="00C863D9"/>
    <w:rsid w:val="00C94377"/>
    <w:rsid w:val="00CA6987"/>
    <w:rsid w:val="00CA7915"/>
    <w:rsid w:val="00CB22C9"/>
    <w:rsid w:val="00CC70F1"/>
    <w:rsid w:val="00CD1508"/>
    <w:rsid w:val="00CE00FE"/>
    <w:rsid w:val="00CF235F"/>
    <w:rsid w:val="00CF68B9"/>
    <w:rsid w:val="00D14EDB"/>
    <w:rsid w:val="00D163CC"/>
    <w:rsid w:val="00D41650"/>
    <w:rsid w:val="00D449A4"/>
    <w:rsid w:val="00D44ACA"/>
    <w:rsid w:val="00D5011D"/>
    <w:rsid w:val="00D51F4E"/>
    <w:rsid w:val="00D573BF"/>
    <w:rsid w:val="00D57C89"/>
    <w:rsid w:val="00D60753"/>
    <w:rsid w:val="00D80437"/>
    <w:rsid w:val="00D80507"/>
    <w:rsid w:val="00D82C8B"/>
    <w:rsid w:val="00D9318F"/>
    <w:rsid w:val="00DA18BC"/>
    <w:rsid w:val="00DA78E0"/>
    <w:rsid w:val="00DB73E8"/>
    <w:rsid w:val="00DC7852"/>
    <w:rsid w:val="00DD40DE"/>
    <w:rsid w:val="00DE365F"/>
    <w:rsid w:val="00DE596C"/>
    <w:rsid w:val="00DF3C6C"/>
    <w:rsid w:val="00E00C96"/>
    <w:rsid w:val="00E01D70"/>
    <w:rsid w:val="00E059A2"/>
    <w:rsid w:val="00E127AA"/>
    <w:rsid w:val="00E12FEB"/>
    <w:rsid w:val="00E14429"/>
    <w:rsid w:val="00E178D4"/>
    <w:rsid w:val="00E2246E"/>
    <w:rsid w:val="00E40CC3"/>
    <w:rsid w:val="00E42639"/>
    <w:rsid w:val="00E5764B"/>
    <w:rsid w:val="00E60370"/>
    <w:rsid w:val="00E6407F"/>
    <w:rsid w:val="00E64D28"/>
    <w:rsid w:val="00E654CB"/>
    <w:rsid w:val="00E7199D"/>
    <w:rsid w:val="00E729B2"/>
    <w:rsid w:val="00E77CCB"/>
    <w:rsid w:val="00E87932"/>
    <w:rsid w:val="00E87DA8"/>
    <w:rsid w:val="00EA532E"/>
    <w:rsid w:val="00EA6A2D"/>
    <w:rsid w:val="00EB017A"/>
    <w:rsid w:val="00EB54DE"/>
    <w:rsid w:val="00EB7BFB"/>
    <w:rsid w:val="00ED1CD2"/>
    <w:rsid w:val="00EE1005"/>
    <w:rsid w:val="00EE15D4"/>
    <w:rsid w:val="00EF2D8D"/>
    <w:rsid w:val="00F00815"/>
    <w:rsid w:val="00F12EF1"/>
    <w:rsid w:val="00F3227B"/>
    <w:rsid w:val="00F37F96"/>
    <w:rsid w:val="00F4602B"/>
    <w:rsid w:val="00F476E8"/>
    <w:rsid w:val="00F60671"/>
    <w:rsid w:val="00F81EE4"/>
    <w:rsid w:val="00F90CFF"/>
    <w:rsid w:val="00F92828"/>
    <w:rsid w:val="00F93CFD"/>
    <w:rsid w:val="00F94E1B"/>
    <w:rsid w:val="00FB059E"/>
    <w:rsid w:val="00FB616D"/>
    <w:rsid w:val="00FC5C26"/>
    <w:rsid w:val="00FD3E93"/>
    <w:rsid w:val="0210686E"/>
    <w:rsid w:val="024E08E6"/>
    <w:rsid w:val="059D2552"/>
    <w:rsid w:val="061C4F96"/>
    <w:rsid w:val="061F7430"/>
    <w:rsid w:val="0B6B16F0"/>
    <w:rsid w:val="0D750B98"/>
    <w:rsid w:val="0ED629B7"/>
    <w:rsid w:val="0F03104E"/>
    <w:rsid w:val="0F8B1893"/>
    <w:rsid w:val="126479A7"/>
    <w:rsid w:val="12745407"/>
    <w:rsid w:val="136038FD"/>
    <w:rsid w:val="14EA31BA"/>
    <w:rsid w:val="156772B6"/>
    <w:rsid w:val="157D37D3"/>
    <w:rsid w:val="15A43820"/>
    <w:rsid w:val="16DD44E9"/>
    <w:rsid w:val="16E172C2"/>
    <w:rsid w:val="19055C74"/>
    <w:rsid w:val="1C5F5F89"/>
    <w:rsid w:val="1CBC1BD3"/>
    <w:rsid w:val="1D3B1607"/>
    <w:rsid w:val="1DA35BF9"/>
    <w:rsid w:val="206EEE52"/>
    <w:rsid w:val="20E4005E"/>
    <w:rsid w:val="218944CA"/>
    <w:rsid w:val="224315A6"/>
    <w:rsid w:val="22BF3546"/>
    <w:rsid w:val="22F974CA"/>
    <w:rsid w:val="25C21157"/>
    <w:rsid w:val="26A67020"/>
    <w:rsid w:val="274F0F42"/>
    <w:rsid w:val="2A3F3DE9"/>
    <w:rsid w:val="2A43777E"/>
    <w:rsid w:val="2CB20EFE"/>
    <w:rsid w:val="2E9E1E3F"/>
    <w:rsid w:val="2F1537F6"/>
    <w:rsid w:val="3065477A"/>
    <w:rsid w:val="32417B76"/>
    <w:rsid w:val="32D254BE"/>
    <w:rsid w:val="34490923"/>
    <w:rsid w:val="377B3CDD"/>
    <w:rsid w:val="3B54341B"/>
    <w:rsid w:val="3B561106"/>
    <w:rsid w:val="3BFC72CF"/>
    <w:rsid w:val="3D283BAB"/>
    <w:rsid w:val="3DD60B0F"/>
    <w:rsid w:val="3E845569"/>
    <w:rsid w:val="3EC821AB"/>
    <w:rsid w:val="3EE3611F"/>
    <w:rsid w:val="3FBF5713"/>
    <w:rsid w:val="3FFC704C"/>
    <w:rsid w:val="404909FF"/>
    <w:rsid w:val="40F46009"/>
    <w:rsid w:val="42AE1A77"/>
    <w:rsid w:val="432C5013"/>
    <w:rsid w:val="44091B02"/>
    <w:rsid w:val="44983E14"/>
    <w:rsid w:val="44BA4DB3"/>
    <w:rsid w:val="450F0362"/>
    <w:rsid w:val="46A652C0"/>
    <w:rsid w:val="478C2210"/>
    <w:rsid w:val="47CD57D8"/>
    <w:rsid w:val="4B935AED"/>
    <w:rsid w:val="4CB75AA4"/>
    <w:rsid w:val="4CD7788D"/>
    <w:rsid w:val="4D8444B9"/>
    <w:rsid w:val="4DEE69F9"/>
    <w:rsid w:val="4F820B3D"/>
    <w:rsid w:val="509C0CE7"/>
    <w:rsid w:val="546E3EA7"/>
    <w:rsid w:val="561C4666"/>
    <w:rsid w:val="56E348DB"/>
    <w:rsid w:val="57D902EB"/>
    <w:rsid w:val="57EE146E"/>
    <w:rsid w:val="59C24248"/>
    <w:rsid w:val="5A706300"/>
    <w:rsid w:val="5C420C55"/>
    <w:rsid w:val="5D77CA0C"/>
    <w:rsid w:val="5DFFF077"/>
    <w:rsid w:val="5FEB2299"/>
    <w:rsid w:val="601C396A"/>
    <w:rsid w:val="63223121"/>
    <w:rsid w:val="636A3E6C"/>
    <w:rsid w:val="639603E0"/>
    <w:rsid w:val="63FC70D8"/>
    <w:rsid w:val="65490CD8"/>
    <w:rsid w:val="659C2D5B"/>
    <w:rsid w:val="68E54E95"/>
    <w:rsid w:val="6962712B"/>
    <w:rsid w:val="69ED127A"/>
    <w:rsid w:val="6A8F0D26"/>
    <w:rsid w:val="6B9A77FA"/>
    <w:rsid w:val="6BDFB266"/>
    <w:rsid w:val="6E4062FB"/>
    <w:rsid w:val="6F3F95BF"/>
    <w:rsid w:val="6FE7D3F7"/>
    <w:rsid w:val="72FD7ED4"/>
    <w:rsid w:val="74653F0C"/>
    <w:rsid w:val="76B17CFD"/>
    <w:rsid w:val="76BF1F8C"/>
    <w:rsid w:val="76CD1FE7"/>
    <w:rsid w:val="76F55597"/>
    <w:rsid w:val="772C5060"/>
    <w:rsid w:val="77FB7702"/>
    <w:rsid w:val="78A629C3"/>
    <w:rsid w:val="7A5DE0B7"/>
    <w:rsid w:val="7B7F4D71"/>
    <w:rsid w:val="7BBBEA43"/>
    <w:rsid w:val="7BD25361"/>
    <w:rsid w:val="7BFB6A81"/>
    <w:rsid w:val="7C06584F"/>
    <w:rsid w:val="7C71CF20"/>
    <w:rsid w:val="7D780AAA"/>
    <w:rsid w:val="7DFB3A85"/>
    <w:rsid w:val="7EFA3A38"/>
    <w:rsid w:val="7FA57EF6"/>
    <w:rsid w:val="7FADA670"/>
    <w:rsid w:val="7FCF6BBC"/>
    <w:rsid w:val="95EBEFCA"/>
    <w:rsid w:val="9FCBEB4E"/>
    <w:rsid w:val="B97BEDE3"/>
    <w:rsid w:val="D2DE428C"/>
    <w:rsid w:val="DB9ECCDB"/>
    <w:rsid w:val="DBFF6A90"/>
    <w:rsid w:val="DDB3AEE2"/>
    <w:rsid w:val="DE0BB0FA"/>
    <w:rsid w:val="E67B7E6B"/>
    <w:rsid w:val="E77F21E0"/>
    <w:rsid w:val="E92B6BF2"/>
    <w:rsid w:val="EA3F82E0"/>
    <w:rsid w:val="EF03ADE5"/>
    <w:rsid w:val="F26F79A1"/>
    <w:rsid w:val="F52FFF57"/>
    <w:rsid w:val="F5B24BCE"/>
    <w:rsid w:val="F5DA74FC"/>
    <w:rsid w:val="F7BE5E3A"/>
    <w:rsid w:val="FBFB13B6"/>
    <w:rsid w:val="FDD56914"/>
    <w:rsid w:val="FEF7846B"/>
    <w:rsid w:val="FFB87609"/>
    <w:rsid w:val="FFD5F12C"/>
    <w:rsid w:val="FFEBB117"/>
    <w:rsid w:val="FFFB4C8B"/>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30"/>
    <w:semiHidden/>
    <w:unhideWhenUsed/>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link w:val="31"/>
    <w:semiHidden/>
    <w:unhideWhenUsed/>
    <w:qFormat/>
    <w:uiPriority w:val="0"/>
    <w:pPr>
      <w:keepNext/>
      <w:keepLines/>
      <w:spacing w:before="260" w:after="260" w:line="416" w:lineRule="auto"/>
      <w:outlineLvl w:val="2"/>
    </w:pPr>
    <w:rPr>
      <w:b/>
      <w:bCs/>
      <w:sz w:val="32"/>
      <w:szCs w:val="32"/>
    </w:rPr>
  </w:style>
  <w:style w:type="character" w:default="1" w:styleId="26">
    <w:name w:val="Default Paragraph Font"/>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customStyle="1" w:styleId="2">
    <w:name w:val="NormalIndent"/>
    <w:basedOn w:val="1"/>
    <w:qFormat/>
    <w:uiPriority w:val="0"/>
    <w:pPr>
      <w:ind w:firstLine="420" w:firstLineChars="200"/>
    </w:pPr>
    <w:rPr>
      <w:kern w:val="0"/>
    </w:rPr>
  </w:style>
  <w:style w:type="paragraph" w:styleId="5">
    <w:name w:val="caption"/>
    <w:basedOn w:val="1"/>
    <w:next w:val="1"/>
    <w:qFormat/>
    <w:uiPriority w:val="0"/>
    <w:pPr>
      <w:widowControl w:val="0"/>
      <w:suppressLineNumbers/>
      <w:suppressAutoHyphens/>
      <w:bidi w:val="0"/>
      <w:spacing w:before="120" w:after="120"/>
    </w:pPr>
    <w:rPr>
      <w:rFonts w:ascii="Calibri" w:hAnsi="Calibri"/>
      <w:i/>
      <w:iCs/>
      <w:color w:val="auto"/>
      <w:sz w:val="24"/>
      <w:szCs w:val="24"/>
    </w:rPr>
  </w:style>
  <w:style w:type="paragraph" w:styleId="6">
    <w:name w:val="annotation text"/>
    <w:basedOn w:val="1"/>
    <w:qFormat/>
    <w:uiPriority w:val="0"/>
    <w:pPr>
      <w:jc w:val="left"/>
    </w:pPr>
  </w:style>
  <w:style w:type="paragraph" w:styleId="7">
    <w:name w:val="index 6"/>
    <w:basedOn w:val="1"/>
    <w:next w:val="1"/>
    <w:qFormat/>
    <w:uiPriority w:val="0"/>
    <w:pPr>
      <w:widowControl/>
    </w:pPr>
    <w:rPr>
      <w:kern w:val="0"/>
      <w:szCs w:val="20"/>
    </w:rPr>
  </w:style>
  <w:style w:type="paragraph" w:styleId="8">
    <w:name w:val="Salutation"/>
    <w:basedOn w:val="1"/>
    <w:next w:val="1"/>
    <w:qFormat/>
    <w:uiPriority w:val="0"/>
    <w:rPr>
      <w:rFonts w:ascii="仿宋_GB2312" w:hAnsi="宋体" w:eastAsia="仿宋_GB2312"/>
      <w:sz w:val="28"/>
      <w:szCs w:val="28"/>
    </w:rPr>
  </w:style>
  <w:style w:type="paragraph" w:styleId="9">
    <w:name w:val="Closing"/>
    <w:basedOn w:val="1"/>
    <w:qFormat/>
    <w:uiPriority w:val="0"/>
    <w:pPr>
      <w:ind w:left="100" w:leftChars="2100"/>
    </w:pPr>
    <w:rPr>
      <w:rFonts w:ascii="仿宋_GB2312" w:hAnsi="宋体" w:eastAsia="仿宋_GB2312"/>
      <w:sz w:val="28"/>
      <w:szCs w:val="28"/>
    </w:rPr>
  </w:style>
  <w:style w:type="paragraph" w:styleId="10">
    <w:name w:val="Body Text"/>
    <w:basedOn w:val="1"/>
    <w:qFormat/>
    <w:uiPriority w:val="0"/>
    <w:rPr>
      <w:szCs w:val="21"/>
      <w:lang w:val="zh-CN"/>
    </w:rPr>
  </w:style>
  <w:style w:type="paragraph" w:styleId="11">
    <w:name w:val="Body Text Indent"/>
    <w:basedOn w:val="1"/>
    <w:link w:val="32"/>
    <w:qFormat/>
    <w:uiPriority w:val="0"/>
    <w:pPr>
      <w:spacing w:line="400" w:lineRule="atLeast"/>
      <w:ind w:firstLine="480"/>
    </w:pPr>
    <w:rPr>
      <w:sz w:val="28"/>
    </w:rPr>
  </w:style>
  <w:style w:type="paragraph" w:styleId="12">
    <w:name w:val="toc 3"/>
    <w:basedOn w:val="1"/>
    <w:next w:val="1"/>
    <w:qFormat/>
    <w:uiPriority w:val="0"/>
    <w:pPr>
      <w:spacing w:line="600" w:lineRule="exact"/>
      <w:ind w:firstLine="640" w:firstLineChars="200"/>
      <w:jc w:val="left"/>
    </w:pPr>
    <w:rPr>
      <w:rFonts w:ascii="楷体_GB2312" w:hAnsi="楷体" w:eastAsia="楷体_GB2312" w:cs="仿宋"/>
      <w:sz w:val="32"/>
      <w:szCs w:val="32"/>
    </w:rPr>
  </w:style>
  <w:style w:type="paragraph" w:styleId="13">
    <w:name w:val="Plain Text"/>
    <w:basedOn w:val="1"/>
    <w:link w:val="33"/>
    <w:qFormat/>
    <w:uiPriority w:val="0"/>
    <w:rPr>
      <w:rFonts w:ascii="宋体" w:hAnsi="Courier New" w:cs="宋体"/>
      <w:kern w:val="0"/>
      <w:szCs w:val="21"/>
    </w:rPr>
  </w:style>
  <w:style w:type="paragraph" w:styleId="14">
    <w:name w:val="Date"/>
    <w:basedOn w:val="1"/>
    <w:next w:val="1"/>
    <w:qFormat/>
    <w:uiPriority w:val="0"/>
    <w:pPr>
      <w:ind w:leftChars="2500"/>
    </w:pPr>
    <w:rPr>
      <w:sz w:val="28"/>
    </w:rPr>
  </w:style>
  <w:style w:type="paragraph" w:styleId="15">
    <w:name w:val="Balloon Text"/>
    <w:basedOn w:val="1"/>
    <w:qFormat/>
    <w:uiPriority w:val="0"/>
    <w:rPr>
      <w:sz w:val="18"/>
      <w:szCs w:val="18"/>
    </w:rPr>
  </w:style>
  <w:style w:type="paragraph" w:styleId="16">
    <w:name w:val="footer"/>
    <w:basedOn w:val="1"/>
    <w:link w:val="34"/>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List"/>
    <w:basedOn w:val="10"/>
    <w:qFormat/>
    <w:uiPriority w:val="0"/>
    <w:pPr>
      <w:suppressAutoHyphens/>
      <w:bidi w:val="0"/>
      <w:spacing w:before="0" w:after="140" w:line="276" w:lineRule="auto"/>
    </w:pPr>
    <w:rPr>
      <w:rFonts w:ascii="Calibri" w:hAnsi="Calibri"/>
      <w:color w:val="auto"/>
      <w:szCs w:val="24"/>
      <w:lang w:val="en-US"/>
    </w:rPr>
  </w:style>
  <w:style w:type="paragraph" w:styleId="19">
    <w:name w:val="Body Text 2"/>
    <w:basedOn w:val="1"/>
    <w:link w:val="35"/>
    <w:qFormat/>
    <w:uiPriority w:val="0"/>
    <w:pPr>
      <w:spacing w:after="120" w:line="480" w:lineRule="auto"/>
    </w:pPr>
  </w:style>
  <w:style w:type="paragraph" w:styleId="2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1">
    <w:name w:val="annotation subject"/>
    <w:basedOn w:val="6"/>
    <w:next w:val="6"/>
    <w:qFormat/>
    <w:uiPriority w:val="0"/>
    <w:rPr>
      <w:b/>
      <w:bCs/>
    </w:rPr>
  </w:style>
  <w:style w:type="paragraph" w:styleId="22">
    <w:name w:val="Body Text First Indent"/>
    <w:basedOn w:val="10"/>
    <w:next w:val="7"/>
    <w:qFormat/>
    <w:uiPriority w:val="0"/>
    <w:pPr>
      <w:ind w:firstLine="200" w:firstLineChars="200"/>
    </w:pPr>
    <w:rPr>
      <w:rFonts w:ascii="Times New Roman" w:hAnsi="Times New Roman" w:eastAsia="宋体" w:cs="Arial"/>
    </w:rPr>
  </w:style>
  <w:style w:type="paragraph" w:styleId="23">
    <w:name w:val="Body Text First Indent 2"/>
    <w:basedOn w:val="11"/>
    <w:link w:val="36"/>
    <w:qFormat/>
    <w:uiPriority w:val="0"/>
    <w:pPr>
      <w:spacing w:after="120" w:line="240" w:lineRule="auto"/>
      <w:ind w:left="420" w:leftChars="200" w:firstLine="420" w:firstLineChars="200"/>
    </w:pPr>
    <w:rPr>
      <w:sz w:val="21"/>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rFonts w:hint="default" w:ascii="Times New Roman" w:hAnsi="Times New Roman" w:cs="Times New Roman"/>
      <w:b/>
      <w:bCs/>
    </w:rPr>
  </w:style>
  <w:style w:type="character" w:styleId="28">
    <w:name w:val="page number"/>
    <w:basedOn w:val="26"/>
    <w:qFormat/>
    <w:uiPriority w:val="0"/>
  </w:style>
  <w:style w:type="character" w:styleId="29">
    <w:name w:val="annotation reference"/>
    <w:qFormat/>
    <w:uiPriority w:val="0"/>
    <w:rPr>
      <w:sz w:val="21"/>
      <w:szCs w:val="21"/>
    </w:rPr>
  </w:style>
  <w:style w:type="character" w:customStyle="1" w:styleId="30">
    <w:name w:val="标题 2 Char"/>
    <w:basedOn w:val="26"/>
    <w:link w:val="3"/>
    <w:qFormat/>
    <w:uiPriority w:val="0"/>
    <w:rPr>
      <w:rFonts w:ascii="Luxi Sans" w:hAnsi="Luxi Sans" w:eastAsia="黑体"/>
      <w:b/>
      <w:kern w:val="2"/>
      <w:sz w:val="32"/>
      <w:szCs w:val="24"/>
    </w:rPr>
  </w:style>
  <w:style w:type="character" w:customStyle="1" w:styleId="31">
    <w:name w:val="标题 3 Char"/>
    <w:basedOn w:val="26"/>
    <w:link w:val="4"/>
    <w:semiHidden/>
    <w:qFormat/>
    <w:uiPriority w:val="0"/>
    <w:rPr>
      <w:b/>
      <w:bCs/>
      <w:kern w:val="2"/>
      <w:sz w:val="32"/>
      <w:szCs w:val="32"/>
    </w:rPr>
  </w:style>
  <w:style w:type="character" w:customStyle="1" w:styleId="32">
    <w:name w:val="正文文本缩进 Char"/>
    <w:basedOn w:val="26"/>
    <w:link w:val="11"/>
    <w:qFormat/>
    <w:uiPriority w:val="0"/>
    <w:rPr>
      <w:kern w:val="2"/>
      <w:sz w:val="28"/>
      <w:szCs w:val="24"/>
    </w:rPr>
  </w:style>
  <w:style w:type="character" w:customStyle="1" w:styleId="33">
    <w:name w:val="纯文本 Char"/>
    <w:basedOn w:val="26"/>
    <w:link w:val="13"/>
    <w:qFormat/>
    <w:uiPriority w:val="0"/>
    <w:rPr>
      <w:rFonts w:ascii="宋体" w:hAnsi="Courier New" w:cs="宋体"/>
      <w:sz w:val="21"/>
      <w:szCs w:val="21"/>
    </w:rPr>
  </w:style>
  <w:style w:type="character" w:customStyle="1" w:styleId="34">
    <w:name w:val="页脚 Char"/>
    <w:link w:val="16"/>
    <w:qFormat/>
    <w:uiPriority w:val="99"/>
    <w:rPr>
      <w:kern w:val="2"/>
      <w:sz w:val="18"/>
      <w:szCs w:val="18"/>
    </w:rPr>
  </w:style>
  <w:style w:type="character" w:customStyle="1" w:styleId="35">
    <w:name w:val="正文文本 2 Char"/>
    <w:basedOn w:val="26"/>
    <w:link w:val="19"/>
    <w:qFormat/>
    <w:uiPriority w:val="0"/>
    <w:rPr>
      <w:kern w:val="2"/>
      <w:sz w:val="21"/>
      <w:szCs w:val="24"/>
    </w:rPr>
  </w:style>
  <w:style w:type="character" w:customStyle="1" w:styleId="36">
    <w:name w:val="正文首行缩进 2 Char"/>
    <w:basedOn w:val="32"/>
    <w:link w:val="23"/>
    <w:qFormat/>
    <w:uiPriority w:val="0"/>
  </w:style>
  <w:style w:type="character" w:customStyle="1" w:styleId="37">
    <w:name w:val="纯文本 Char1"/>
    <w:basedOn w:val="26"/>
    <w:qFormat/>
    <w:uiPriority w:val="0"/>
    <w:rPr>
      <w:rFonts w:ascii="宋体" w:hAnsi="Courier New" w:cs="Courier New"/>
      <w:kern w:val="2"/>
      <w:sz w:val="21"/>
      <w:szCs w:val="21"/>
    </w:rPr>
  </w:style>
  <w:style w:type="character" w:customStyle="1" w:styleId="38">
    <w:name w:val="font21"/>
    <w:basedOn w:val="26"/>
    <w:qFormat/>
    <w:uiPriority w:val="0"/>
    <w:rPr>
      <w:rFonts w:hint="eastAsia" w:ascii="宋体" w:hAnsi="宋体" w:eastAsia="宋体" w:cs="宋体"/>
      <w:color w:val="000000"/>
      <w:sz w:val="22"/>
      <w:szCs w:val="22"/>
      <w:u w:val="none"/>
    </w:rPr>
  </w:style>
  <w:style w:type="character" w:customStyle="1" w:styleId="39">
    <w:name w:val="NormalCharacter"/>
    <w:qFormat/>
    <w:uiPriority w:val="0"/>
  </w:style>
  <w:style w:type="character" w:customStyle="1" w:styleId="40">
    <w:name w:val="font11"/>
    <w:basedOn w:val="26"/>
    <w:qFormat/>
    <w:uiPriority w:val="0"/>
    <w:rPr>
      <w:rFonts w:hint="default" w:ascii="Calibri" w:hAnsi="Calibri" w:cs="Calibri"/>
      <w:color w:val="000000"/>
      <w:sz w:val="22"/>
      <w:szCs w:val="22"/>
      <w:u w:val="none"/>
    </w:rPr>
  </w:style>
  <w:style w:type="paragraph" w:customStyle="1" w:styleId="41">
    <w:name w:val="列出段落1"/>
    <w:basedOn w:val="1"/>
    <w:qFormat/>
    <w:uiPriority w:val="99"/>
    <w:pPr>
      <w:ind w:firstLine="420" w:firstLineChars="200"/>
    </w:pPr>
    <w:rPr>
      <w:rFonts w:ascii="Calibri" w:hAnsi="Calibri" w:cs="Calibri"/>
      <w:szCs w:val="21"/>
    </w:rPr>
  </w:style>
  <w:style w:type="paragraph" w:styleId="42">
    <w:name w:val="List Paragraph"/>
    <w:basedOn w:val="1"/>
    <w:semiHidden/>
    <w:unhideWhenUsed/>
    <w:qFormat/>
    <w:uiPriority w:val="99"/>
    <w:pPr>
      <w:ind w:firstLine="420" w:firstLineChars="200"/>
    </w:pPr>
    <w:rPr>
      <w:rFonts w:ascii="Calibri" w:hAnsi="Calibri"/>
    </w:rPr>
  </w:style>
  <w:style w:type="paragraph" w:customStyle="1" w:styleId="43">
    <w:name w:val=" Char Char Char Char Char Char Char Char Char Char Char Char Char Char Char Char Char Char Char Char Char Char"/>
    <w:basedOn w:val="1"/>
    <w:qFormat/>
    <w:uiPriority w:val="0"/>
  </w:style>
  <w:style w:type="paragraph" w:customStyle="1" w:styleId="44">
    <w:name w:val="Char Char Char Char"/>
    <w:basedOn w:val="1"/>
    <w:qFormat/>
    <w:uiPriority w:val="0"/>
  </w:style>
  <w:style w:type="paragraph" w:customStyle="1" w:styleId="45">
    <w:name w:val=" Char Char"/>
    <w:basedOn w:val="1"/>
    <w:qFormat/>
    <w:uiPriority w:val="0"/>
  </w:style>
  <w:style w:type="paragraph" w:customStyle="1" w:styleId="46">
    <w:name w:val=" Char Char Char"/>
    <w:basedOn w:val="1"/>
    <w:qFormat/>
    <w:uiPriority w:val="0"/>
  </w:style>
  <w:style w:type="paragraph" w:customStyle="1" w:styleId="47">
    <w:name w:val=" Char Char1"/>
    <w:basedOn w:val="1"/>
    <w:qFormat/>
    <w:uiPriority w:val="0"/>
  </w:style>
  <w:style w:type="paragraph" w:customStyle="1" w:styleId="48">
    <w:name w:val="reader-word-layer"/>
    <w:basedOn w:val="7"/>
    <w:qFormat/>
    <w:uiPriority w:val="0"/>
    <w:pPr>
      <w:spacing w:before="100" w:beforeAutospacing="1" w:after="100" w:afterAutospacing="1"/>
      <w:jc w:val="left"/>
    </w:pPr>
    <w:rPr>
      <w:rFonts w:ascii="宋体" w:hAnsi="宋体" w:cs="宋体"/>
      <w:sz w:val="24"/>
      <w:szCs w:val="24"/>
    </w:rPr>
  </w:style>
  <w:style w:type="paragraph" w:customStyle="1" w:styleId="49">
    <w:name w:val="Char Char Char"/>
    <w:basedOn w:val="1"/>
    <w:qFormat/>
    <w:uiPriority w:val="0"/>
    <w:pPr>
      <w:autoSpaceDE w:val="0"/>
      <w:adjustRightInd w:val="0"/>
      <w:snapToGrid w:val="0"/>
      <w:spacing w:beforeLines="50" w:line="360" w:lineRule="auto"/>
      <w:ind w:left="200" w:leftChars="200" w:firstLine="482"/>
      <w:outlineLvl w:val="0"/>
    </w:pPr>
    <w:rPr>
      <w:rFonts w:ascii="宋体" w:hAnsi="宋体" w:cs="宋体"/>
      <w:kern w:val="0"/>
      <w:szCs w:val="20"/>
    </w:rPr>
  </w:style>
  <w:style w:type="paragraph" w:customStyle="1" w:styleId="50">
    <w:name w:val="正文0"/>
    <w:basedOn w:val="1"/>
    <w:qFormat/>
    <w:uiPriority w:val="0"/>
    <w:pPr>
      <w:spacing w:line="560" w:lineRule="exact"/>
      <w:ind w:firstLine="640" w:firstLineChars="200"/>
    </w:pPr>
    <w:rPr>
      <w:rFonts w:ascii="仿宋" w:hAnsi="仿宋" w:eastAsia="仿宋_GB2312"/>
      <w:color w:val="000000"/>
      <w:kern w:val="0"/>
      <w:sz w:val="32"/>
      <w:szCs w:val="20"/>
    </w:rPr>
  </w:style>
  <w:style w:type="paragraph" w:customStyle="1" w:styleId="51">
    <w:name w:val="00_基本正文"/>
    <w:basedOn w:val="1"/>
    <w:qFormat/>
    <w:uiPriority w:val="0"/>
    <w:pPr>
      <w:spacing w:line="560" w:lineRule="exact"/>
      <w:ind w:firstLine="640" w:firstLineChars="200"/>
    </w:pPr>
    <w:rPr>
      <w:rFonts w:ascii="仿宋_GB2312" w:hAnsi="仿宋_GB2312" w:eastAsia="仿宋_GB2312" w:cs="仿宋_GB2312"/>
      <w:sz w:val="32"/>
      <w:szCs w:val="32"/>
    </w:rPr>
  </w:style>
  <w:style w:type="character" w:customStyle="1" w:styleId="52">
    <w:name w:val="默认段落字体1"/>
    <w:qFormat/>
    <w:uiPriority w:val="0"/>
    <w:rPr>
      <w:rFonts w:ascii="Times New Roman" w:hAnsi="Times New Roman" w:eastAsia="宋体" w:cs="Times New Roman"/>
    </w:rPr>
  </w:style>
  <w:style w:type="paragraph" w:customStyle="1" w:styleId="53">
    <w:name w:val="Heading"/>
    <w:basedOn w:val="1"/>
    <w:next w:val="10"/>
    <w:uiPriority w:val="0"/>
    <w:pPr>
      <w:keepNext/>
      <w:widowControl w:val="0"/>
      <w:suppressAutoHyphens/>
      <w:bidi w:val="0"/>
      <w:spacing w:before="240" w:after="120"/>
    </w:pPr>
    <w:rPr>
      <w:rFonts w:ascii="Liberation Sans" w:hAnsi="Liberation Sans" w:eastAsia="Noto Sans CJK SC Regular" w:cs="Noto Sans CJK SC Regular"/>
      <w:color w:val="auto"/>
      <w:sz w:val="28"/>
      <w:szCs w:val="28"/>
      <w:lang w:bidi="ar-SA"/>
    </w:rPr>
  </w:style>
  <w:style w:type="paragraph" w:customStyle="1" w:styleId="54">
    <w:name w:val="Index"/>
    <w:basedOn w:val="1"/>
    <w:uiPriority w:val="0"/>
    <w:pPr>
      <w:widowControl w:val="0"/>
      <w:suppressLineNumbers/>
      <w:suppressAutoHyphens/>
      <w:bidi w:val="0"/>
    </w:pPr>
    <w:rPr>
      <w:rFonts w:ascii="Calibri" w:hAnsi="Calibri"/>
      <w:color w:val="auto"/>
    </w:rPr>
  </w:style>
  <w:style w:type="character" w:customStyle="1" w:styleId="55">
    <w:name w:val="font31"/>
    <w:basedOn w:val="26"/>
    <w:qFormat/>
    <w:uiPriority w:val="0"/>
    <w:rPr>
      <w:rFonts w:hint="eastAsia" w:ascii="宋体" w:hAnsi="宋体" w:eastAsia="宋体" w:cs="宋体"/>
      <w:color w:val="000000"/>
      <w:sz w:val="24"/>
      <w:szCs w:val="24"/>
      <w:u w:val="none"/>
    </w:rPr>
  </w:style>
  <w:style w:type="character" w:customStyle="1" w:styleId="56">
    <w:name w:val="font51"/>
    <w:basedOn w:val="26"/>
    <w:qFormat/>
    <w:uiPriority w:val="0"/>
    <w:rPr>
      <w:rFonts w:hint="default" w:ascii="Arial" w:hAnsi="Arial" w:eastAsia="宋体" w:cs="Arial"/>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 China</Company>
  <Pages>7</Pages>
  <Words>62</Words>
  <Characters>75</Characters>
  <Lines>6</Lines>
  <Paragraphs>1</Paragraphs>
  <TotalTime>1</TotalTime>
  <ScaleCrop>false</ScaleCrop>
  <LinksUpToDate>false</LinksUpToDate>
  <CharactersWithSpaces>128</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2021-11-29T01:32:00Z</dcterms:created>
  <dc:creator>软件仓库</dc:creator>
  <cp:lastModifiedBy>王雨婷</cp:lastModifiedBy>
  <cp:lastPrinted>2022-11-27T22:09:00Z</cp:lastPrinted>
  <dcterms:modified xsi:type="dcterms:W3CDTF">2026-07-01T15:50:32Z</dcterms:modified>
  <dc:title>沪知局〔2005〕8号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DB886F4FA6E701B3C8C6446A5B3FFE1E</vt:lpwstr>
  </property>
</Properties>
</file>