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6" w:lineRule="auto"/>
        <w:rPr>
          <w:rFonts w:ascii="黑体" w:eastAsia="黑体"/>
          <w:szCs w:val="32"/>
        </w:rPr>
      </w:pPr>
      <w:bookmarkStart w:id="0" w:name="_GoBack"/>
      <w:bookmarkEnd w:id="0"/>
    </w:p>
    <w:p>
      <w:pPr>
        <w:overflowPunct w:val="0"/>
        <w:adjustRightInd w:val="0"/>
        <w:snapToGrid w:val="0"/>
        <w:spacing w:line="336" w:lineRule="auto"/>
        <w:rPr>
          <w:rFonts w:ascii="黑体" w:eastAsia="黑体"/>
          <w:szCs w:val="32"/>
        </w:rPr>
      </w:pPr>
    </w:p>
    <w:p>
      <w:pPr>
        <w:overflowPunct w:val="0"/>
        <w:adjustRightInd w:val="0"/>
        <w:snapToGrid w:val="0"/>
        <w:spacing w:line="336" w:lineRule="auto"/>
        <w:rPr>
          <w:rFonts w:ascii="黑体" w:eastAsia="黑体"/>
          <w:szCs w:val="32"/>
        </w:rPr>
      </w:pPr>
    </w:p>
    <w:p>
      <w:pPr>
        <w:overflowPunct w:val="0"/>
        <w:adjustRightInd w:val="0"/>
        <w:snapToGrid w:val="0"/>
        <w:spacing w:line="100" w:lineRule="exact"/>
        <w:rPr>
          <w:rFonts w:ascii="黑体" w:eastAsia="黑体"/>
          <w:szCs w:val="32"/>
        </w:rPr>
      </w:pPr>
    </w:p>
    <w:p>
      <w:pPr>
        <w:overflowPunct w:val="0"/>
        <w:adjustRightInd w:val="0"/>
        <w:snapToGrid w:val="0"/>
        <w:ind w:left="-57"/>
        <w:jc w:val="center"/>
        <w:rPr>
          <w:rFonts w:ascii="方正小标宋简体" w:hAnsi="宋体" w:eastAsia="方正小标宋简体"/>
          <w:color w:val="FF0000"/>
          <w:sz w:val="72"/>
          <w:szCs w:val="72"/>
        </w:rPr>
      </w:pPr>
      <w:r>
        <w:rPr>
          <w:rFonts w:hint="eastAsia" w:ascii="方正小标宋简体" w:hAnsi="宋体" w:eastAsia="方正小标宋简体"/>
          <w:color w:val="FF0000"/>
          <w:sz w:val="72"/>
          <w:szCs w:val="72"/>
        </w:rPr>
        <w:t>上海市市场监督管理局文件</w:t>
      </w: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336" w:lineRule="auto"/>
        <w:jc w:val="center"/>
        <w:rPr>
          <w:szCs w:val="32"/>
        </w:rPr>
      </w:pPr>
      <w:r>
        <w:rPr>
          <w:szCs w:val="30"/>
        </w:rP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05pt;margin-top:30.4pt;height:0pt;width:442.2pt;z-index:251658240;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IDoLA1AAAAAYB&#10;AAAPAAAAAAAAAAEAIAAAADgAAABkcnMvZG93bnJldi54bWxQSwECFAAUAAAACACHTuJA+imuJNAB&#10;AACRAwAADgAAAAAAAAABACAAAAA5AQAAZHJzL2Uyb0RvYy54bWxQSwUGAAAAAAYABgBZAQAAewUA&#10;AAAA&#10;">
                <v:fill on="f" focussize="0,0"/>
                <v:stroke weight="1.5pt" color="#FF0000" joinstyle="round"/>
                <v:imagedata o:title=""/>
                <o:lock v:ext="edit" aspectratio="f"/>
                <w10:anchorlock/>
              </v:line>
            </w:pict>
          </mc:Fallback>
        </mc:AlternateContent>
      </w:r>
      <w:r>
        <w:rPr>
          <w:rFonts w:hint="eastAsia"/>
          <w:szCs w:val="32"/>
        </w:rPr>
        <w:t>沪市监规范〔202</w:t>
      </w:r>
      <w:r>
        <w:rPr>
          <w:szCs w:val="32"/>
        </w:rPr>
        <w:t>2</w:t>
      </w:r>
      <w:r>
        <w:rPr>
          <w:rFonts w:hint="eastAsia"/>
          <w:szCs w:val="32"/>
        </w:rPr>
        <w:t>〕14号</w:t>
      </w: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上海市市场监督管理局关于发布《上海市</w:t>
      </w: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食品生产加工小作坊监督管理办法》的通知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rPr>
          <w:rFonts w:hAnsi="宋体"/>
          <w:szCs w:val="30"/>
        </w:rPr>
      </w:pPr>
      <w:r>
        <w:rPr>
          <w:rFonts w:hint="eastAsia" w:hAnsi="宋体"/>
          <w:szCs w:val="30"/>
        </w:rPr>
        <w:t>各区市场监管局，临港新片区市场监管局，市局执法总队：</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《上海市食品生产加工小作坊监督管理办法》已经2022年6月29日市局局长办公会审议通过，现予发布，自2022年8月18日起施行，请遵照执行。</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特此通知。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right="941" w:firstLine="624"/>
        <w:jc w:val="right"/>
        <w:rPr>
          <w:rFonts w:hAnsi="宋体"/>
          <w:szCs w:val="30"/>
        </w:rPr>
      </w:pPr>
      <w:r>
        <w:rPr>
          <w:rFonts w:hint="eastAsia" w:hAnsi="宋体"/>
          <w:szCs w:val="30"/>
        </w:rPr>
        <w:t>上海市市场监督管理局</w:t>
      </w:r>
    </w:p>
    <w:p>
      <w:pPr>
        <w:tabs>
          <w:tab w:val="left" w:pos="790"/>
          <w:tab w:val="left" w:pos="1264"/>
        </w:tabs>
        <w:overflowPunct w:val="0"/>
        <w:adjustRightInd w:val="0"/>
        <w:snapToGrid w:val="0"/>
        <w:spacing w:line="288" w:lineRule="auto"/>
        <w:ind w:right="1247" w:firstLine="624"/>
        <w:jc w:val="right"/>
        <w:rPr>
          <w:rFonts w:hAnsi="宋体"/>
          <w:szCs w:val="30"/>
        </w:rPr>
      </w:pPr>
      <w:r>
        <w:rPr>
          <w:rFonts w:hint="eastAsia" w:hAnsi="宋体"/>
          <w:szCs w:val="30"/>
        </w:rPr>
        <w:t>2022年</w:t>
      </w:r>
      <w:r>
        <w:rPr>
          <w:rFonts w:hAnsi="宋体"/>
          <w:szCs w:val="30"/>
        </w:rPr>
        <w:t>7</w:t>
      </w:r>
      <w:r>
        <w:rPr>
          <w:rFonts w:hint="eastAsia" w:hAnsi="宋体"/>
          <w:szCs w:val="30"/>
        </w:rPr>
        <w:t>月</w:t>
      </w:r>
      <w:r>
        <w:rPr>
          <w:rFonts w:hAnsi="宋体"/>
          <w:szCs w:val="30"/>
        </w:rPr>
        <w:t>14</w:t>
      </w:r>
      <w:r>
        <w:rPr>
          <w:rFonts w:hint="eastAsia" w:hAnsi="宋体"/>
          <w:szCs w:val="30"/>
        </w:rPr>
        <w:t>日</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（此件公开发布）</w:t>
      </w: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上海市食品生产加工小作坊监督管理办法</w:t>
      </w:r>
    </w:p>
    <w:p>
      <w:pPr>
        <w:tabs>
          <w:tab w:val="left" w:pos="790"/>
          <w:tab w:val="left" w:pos="1264"/>
        </w:tabs>
        <w:overflowPunct w:val="0"/>
        <w:adjustRightInd w:val="0"/>
        <w:snapToGrid w:val="0"/>
        <w:spacing w:line="344" w:lineRule="auto"/>
        <w:ind w:firstLine="624"/>
        <w:rPr>
          <w:rFonts w:hAnsi="宋体"/>
          <w:szCs w:val="30"/>
        </w:rPr>
      </w:pPr>
    </w:p>
    <w:p>
      <w:pPr>
        <w:tabs>
          <w:tab w:val="left" w:pos="790"/>
          <w:tab w:val="left" w:pos="1264"/>
        </w:tabs>
        <w:overflowPunct w:val="0"/>
        <w:adjustRightInd w:val="0"/>
        <w:snapToGrid w:val="0"/>
        <w:spacing w:after="120" w:line="344"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第一章　总　则</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第一条</w:t>
      </w:r>
      <w:r>
        <w:rPr>
          <w:rFonts w:hint="eastAsia" w:hAnsi="宋体"/>
          <w:szCs w:val="30"/>
        </w:rPr>
        <w:t>　为规范食品生产加工小作坊生产加工行为，加强监督管理，根据《中华人民共和国食品安全法》《上海市食品安全条例》等法律法规，结合本市实际，制定本办法。</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第二条</w:t>
      </w:r>
      <w:r>
        <w:rPr>
          <w:rFonts w:hint="eastAsia" w:hAnsi="宋体"/>
          <w:szCs w:val="30"/>
        </w:rPr>
        <w:t>　在本市行政区域内从事食品生产加工小作坊生产加工活动，应当遵守相关法律法规和本办法的规定。</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第三条</w:t>
      </w:r>
      <w:r>
        <w:rPr>
          <w:rFonts w:hint="eastAsia" w:hAnsi="宋体"/>
          <w:szCs w:val="30"/>
        </w:rPr>
        <w:t>　食品生产加工小作坊对其生产加工食品的安全负责。</w:t>
      </w:r>
    </w:p>
    <w:p>
      <w:pPr>
        <w:tabs>
          <w:tab w:val="left" w:pos="790"/>
          <w:tab w:val="left" w:pos="1264"/>
        </w:tabs>
        <w:overflowPunct w:val="0"/>
        <w:adjustRightInd w:val="0"/>
        <w:snapToGrid w:val="0"/>
        <w:spacing w:line="344" w:lineRule="auto"/>
        <w:ind w:firstLine="624"/>
        <w:rPr>
          <w:rFonts w:hAnsi="宋体"/>
          <w:szCs w:val="30"/>
        </w:rPr>
      </w:pPr>
      <w:r>
        <w:rPr>
          <w:rFonts w:hint="eastAsia" w:hAnsi="宋体"/>
          <w:szCs w:val="30"/>
        </w:rPr>
        <w:t>食品生产加工小作坊应当依照法律法规和食品安全标准从事食品生产活动，保证食品安全，做到诚信自律，并主动接受社会监督。</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第四条</w:t>
      </w:r>
      <w:r>
        <w:rPr>
          <w:rFonts w:hint="eastAsia" w:hAnsi="宋体"/>
          <w:szCs w:val="30"/>
        </w:rPr>
        <w:t>　市市场监督管理局负责本市食品生产加工小作坊监督管理工作，编制本市食品生产加工小作坊准许生产的食品品种目录。</w:t>
      </w:r>
    </w:p>
    <w:p>
      <w:pPr>
        <w:tabs>
          <w:tab w:val="left" w:pos="790"/>
          <w:tab w:val="left" w:pos="1264"/>
        </w:tabs>
        <w:overflowPunct w:val="0"/>
        <w:adjustRightInd w:val="0"/>
        <w:snapToGrid w:val="0"/>
        <w:spacing w:line="344" w:lineRule="auto"/>
        <w:ind w:firstLine="624"/>
        <w:rPr>
          <w:rFonts w:hAnsi="宋体"/>
          <w:szCs w:val="30"/>
        </w:rPr>
      </w:pPr>
      <w:r>
        <w:rPr>
          <w:rFonts w:hint="eastAsia" w:hAnsi="宋体"/>
          <w:szCs w:val="30"/>
        </w:rPr>
        <w:t>区市场监督管理局负责辖区内食品生产加工小作坊准许生产证的发证管理工作，并对辖区内食品生产加工小作坊的生产加工活动实施监督管理。</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第五条</w:t>
      </w:r>
      <w:r>
        <w:rPr>
          <w:rFonts w:hint="eastAsia" w:hAnsi="宋体"/>
          <w:szCs w:val="30"/>
        </w:rPr>
        <w:t>　相关行业协会应当加强行业自律，引导和督促食品生产加工小作坊依法生产加工食品，推动行业诚信建设，宣传、普及食品安全知识。</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第六条</w:t>
      </w:r>
      <w:r>
        <w:rPr>
          <w:rFonts w:hint="eastAsia" w:hAnsi="宋体"/>
          <w:szCs w:val="30"/>
        </w:rPr>
        <w:t>　任何单位和个人有权向市场监督管理部门举报食品生产加工小作坊生产加工的违法行为。对查证属实的举报，市场监督管理部门应当按照有关规定给予奖励。</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第七条</w:t>
      </w:r>
      <w:r>
        <w:rPr>
          <w:rFonts w:hint="eastAsia" w:hAnsi="宋体"/>
          <w:szCs w:val="30"/>
        </w:rPr>
        <w:t>　市场监督管理部门应当加强监督检查信息化建设，记录、归集、分析监督检查信息，加强数据整合、共享和利用，完善监督检查措施，提升智慧监管水平。</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after="120" w:line="341"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第二章　生产加工</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第八条</w:t>
      </w:r>
      <w:r>
        <w:rPr>
          <w:rFonts w:hint="eastAsia" w:hAnsi="宋体"/>
          <w:szCs w:val="30"/>
        </w:rPr>
        <w:t>　本市对食品生产加工小作坊生产的食品实行品种目录管理。</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品种目录由市市场监督管理局编制，报市食品药品安全委员会批准后实施，并向社会公布。</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第九条</w:t>
      </w:r>
      <w:r>
        <w:rPr>
          <w:rFonts w:hint="eastAsia" w:hAnsi="宋体"/>
          <w:szCs w:val="30"/>
        </w:rPr>
        <w:t>　本市对食品生产加工小作坊实行准许生产制度。本市食品生产加工小作坊生产加工列入《上海市食品生产加工小作坊食品品种目录》内的食品，应当取得《上海市食品生产加工小作坊准许生产证》（以下称“准许生产证”）。</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食品生产加工小作坊未取得准许生产证的，不得从事食品生产加工活动。</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食品生产加工小作坊在不同场所从事食品生产加工活动，应当分别办理准许生产证。</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同一食品生产场所只能申领一张准许生产证。</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第十条</w:t>
      </w:r>
      <w:r>
        <w:rPr>
          <w:rFonts w:hint="eastAsia" w:hAnsi="宋体"/>
          <w:szCs w:val="30"/>
        </w:rPr>
        <w:t>　食品生产加工小作坊生产加工应当符合食品安全地方标准，并具备下列条件：</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（一）有与生产加工的食品品种、数量相适应的生产加工场所，环境整洁，并与有毒有害场所以及其他污染源保持规定的安全距离，法律、法规、规章、标准、规范另有规定的，从其规定；</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（二）有与生产加工的食品品种、数量相适应的生产加工和卫生、污水及废弃物处理设备或者设施；</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（三）有保证食品安全的规章制度；</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（四）有合理的设备布局和工艺流程。</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第十一条</w:t>
      </w:r>
      <w:r>
        <w:rPr>
          <w:rFonts w:hint="eastAsia" w:hAnsi="宋体"/>
          <w:szCs w:val="30"/>
        </w:rPr>
        <w:t>　不得与居民生活场所在同一建筑物内，不得与药品、非食用产品共用生产场所。</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第十二条</w:t>
      </w:r>
      <w:r>
        <w:rPr>
          <w:rFonts w:hint="eastAsia" w:hAnsi="宋体"/>
          <w:szCs w:val="30"/>
        </w:rPr>
        <w:t>　食品生产加工小作坊的生产场地出租者应当履行下列责任：</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查验食品生产加工小作坊业主的身份证明，已从事生产加工食品的，应查验其生产营业执照和准许生产证，不得将房屋出租给无身份证明、无营业执照或无准许生产证的食品生产加工小作坊生产者作为食品加工场地；</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（二）租赁期限内，发现出租场所内有涉嫌食品生产加工违法行为的，应当向辖区内市场监督管理部门报告，配合市场监督管理部门的监督管理。市场监督管理部门确认违法的，应终止租赁合同。</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第十三条</w:t>
      </w:r>
      <w:r>
        <w:rPr>
          <w:rFonts w:hint="eastAsia" w:hAnsi="宋体"/>
          <w:szCs w:val="30"/>
        </w:rPr>
        <w:t>　食品生产加工小作坊应当妥善保管食品生产加工小作坊准许生产证，不得伪造、涂改、倒卖、出租、出借、转让。</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食品生产加工小作坊应当在生产场所的显著位置悬挂或者摆放准许生产证正本。</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第十四条</w:t>
      </w:r>
      <w:r>
        <w:rPr>
          <w:rFonts w:hint="eastAsia" w:hAnsi="宋体"/>
          <w:szCs w:val="30"/>
        </w:rPr>
        <w:t>　食品生产加工小作坊应当自行组织或者委托社会培训机构、行业协会，对本单位的从业人员进行上岗前和在岗期间的食品安全知识培训，学习食品安全法律、法规、规章、标准和食品安全知识，并建立培训档案。</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市场监督管理部门应当对食品生产加工小作坊的负责人、关键环节操作人员及其他相关从业人员随机进行监督抽查考核并公布考核情况。监督抽查考核不得收取费用。</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第十五条</w:t>
      </w:r>
      <w:r>
        <w:rPr>
          <w:rFonts w:hint="eastAsia" w:hAnsi="宋体"/>
          <w:szCs w:val="30"/>
        </w:rPr>
        <w:t>　食品生产加工小作坊应当根据《中华人民共和国食品安全法》的规定建立并执行从业人员健康管理制度，患有国务院卫生行政部门规定的有碍食品安全疾病的人员，不得从事接触直接入口食品的生产加工工作。</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从事接触直接入口食品工作的食品生产加工人员应当每年进行健康检查，取得健康证明后方可上岗。</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第十六条</w:t>
      </w:r>
      <w:r>
        <w:rPr>
          <w:rFonts w:hint="eastAsia" w:hAnsi="宋体"/>
          <w:szCs w:val="30"/>
        </w:rPr>
        <w:t>　食品生产加工小作坊应当建立进货查验制度，查验食品、食品添加剂、食品相关产品供货者的许可证和产品合格报告，如实记录购进食品、食品添加剂、食品相关产品的名称、规格、数量、生产日期或者生产批号、保质期、进货日期、供货者名称、地址及联系方式等内容，并保存相关凭证。相关凭证保存期限不得少于产品保质期满后六个月；没有明确保质期的，保存期限不得少于二年。</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食品生产加工小作坊应当建立食品销售记录制度，如实记录销售食品的名称、规格、数量、生产日期、保质期、销售日期、购货者名称、地址及联系方式等内容，保存期限不得少于产品保质期满后六个月；没有明确保质期的，保存期限不得少于二年。</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第十七条</w:t>
      </w:r>
      <w:r>
        <w:rPr>
          <w:rFonts w:hint="eastAsia" w:hAnsi="宋体"/>
          <w:szCs w:val="30"/>
        </w:rPr>
        <w:t>　食品生产加工小作坊应当对生产加工的食品进行包装，并在包装上贴注标签，标明以下内容：</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（一）食品的名称、生产日期、保质期、贮存条件；</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（二）食品生产加工小作坊的名称、地址、联系方式；</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（三）准许生产证编号；</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（四）成分或者配料表，所使用的食品添加剂在国家标准中的通用名称。</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食品生产加工小作坊对生产加工的食品进行预包装的，还应当符合食品安全法律法规和食品安全标准对预包装食品标签的要求。</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第十八条</w:t>
      </w:r>
      <w:r>
        <w:rPr>
          <w:rFonts w:hint="eastAsia" w:hAnsi="宋体"/>
          <w:szCs w:val="30"/>
        </w:rPr>
        <w:t>　食品生产加工小作坊使用食品添加剂的，应当将食品添加剂存放于专用橱柜等设施中，标明“食品添加剂”字样，按照食品安全标准规定的品种、范围、用量使用，并建立食品添加剂的使用记录制度。</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第十九条</w:t>
      </w:r>
      <w:r>
        <w:rPr>
          <w:rFonts w:hint="eastAsia" w:hAnsi="宋体"/>
          <w:szCs w:val="30"/>
        </w:rPr>
        <w:t>　食品生产加工小作坊不得接受委托生产加工食品。</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第二十条</w:t>
      </w:r>
      <w:r>
        <w:rPr>
          <w:rFonts w:hint="eastAsia" w:hAnsi="宋体"/>
          <w:szCs w:val="30"/>
        </w:rPr>
        <w:t>　食品生产加工小作坊发现其生产加工的食品不符合食品安全标准或者有证据证明可能危害人体健康的，应当立即停止生产加工，通知相关生产经营者和消费者，召回已经上市销售的食品，并记录通知和召回情况。</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第二十一条</w:t>
      </w:r>
      <w:r>
        <w:rPr>
          <w:rFonts w:hint="eastAsia" w:hAnsi="宋体"/>
          <w:szCs w:val="30"/>
        </w:rPr>
        <w:t>　发生食品安全事故的食品生产加工小作坊应当立即采取措施，防止事故扩大，及时向事故发生地市场监督管理、卫生行政部门报告。</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after="120" w:line="341"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第三章　发证程序</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第二十二条</w:t>
      </w:r>
      <w:r>
        <w:rPr>
          <w:rFonts w:hint="eastAsia" w:hAnsi="宋体"/>
          <w:szCs w:val="30"/>
        </w:rPr>
        <w:t>　申请食品生产加工小作坊，应当先行取得营业执照等合法主体资格。</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申请食品生产加工小作坊准许生产证，应当向生产场所所在地的区市场监督管理局提交下列材料：</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（一）申请书；</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（二）工艺设备布局图和工艺流程图；</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（三）食品生产加工主要设备、设施清单（在申请书中填写）；</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（四）食品安全管理制度（在申请书中填写清单）。</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委托他人代为申请的，应当提交由委托人签名或盖章的授权委托书和被委托人身份证明复印件。</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申请人提交的材料应当真实、合法、有效，符合相关法律法规的规定，申请人应当在申请材料上签字确认。</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第二十三条</w:t>
      </w:r>
      <w:r>
        <w:rPr>
          <w:rFonts w:hint="eastAsia" w:hAnsi="宋体"/>
          <w:szCs w:val="30"/>
        </w:rPr>
        <w:t>　区市场监督管理局对收到的申请，应当依照《中华人民共和国行政许可法》第三十二条等有关规定进行处理。</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第二十四条</w:t>
      </w:r>
      <w:r>
        <w:rPr>
          <w:rFonts w:hint="eastAsia" w:hAnsi="宋体"/>
          <w:szCs w:val="30"/>
        </w:rPr>
        <w:t>　区市场监督管理局受理后，应当根据《上海市食品安全条例》和本办法的规定进行审查，征询食品生产加工小作坊所在地的乡镇人民政府或街道办事处的意见，必要时对食品生产加工小作坊生产场所进行现场核查，现场核查人员不得少于2名。</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第二十五条</w:t>
      </w:r>
      <w:r>
        <w:rPr>
          <w:rFonts w:hint="eastAsia" w:hAnsi="宋体"/>
          <w:szCs w:val="30"/>
        </w:rPr>
        <w:t>　区市场监督管理局应当根据征询意见和核查意见，作出如下处理：</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（一）食品生产加工小作坊所在地的乡、镇人民政府或街道办事处对设立食品生产加工小作坊因不符合辖区规划布局等原因不同意的，依法作出不予准许的决定，向申请人发出《不予准许决定书》，并说明理由。</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食品生产加工小作坊所在地的乡、镇人民政府或街道办事处对设立食品生产加工小作坊同意的，并经核查，生产条件符合要求的，依法作出准许生产的决定，向申请人发出《准许生产决定书》，并于作出决定之日起5个工作日内核发准许生产证，通报相关乡、镇人民政府或者街道办事处。</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三）食品生产加工小作坊所在地的乡、镇人民政府或街道办事处对设立食品生产加工小作坊同意的，并经核查，生产条件不符合要求的，依法作出不予准许生产的决定，向申请人发出《不予准许生产决定书》，并说明理由。</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除不可抗力外，由于申请人的原因导致核查无法在规定期限内实施的，按核查不合格处理。</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第二十六条</w:t>
      </w:r>
      <w:r>
        <w:rPr>
          <w:rFonts w:hint="eastAsia" w:hAnsi="宋体"/>
          <w:szCs w:val="30"/>
        </w:rPr>
        <w:t>　区市场监督管理局应当自受理申请之日起10个工作日内作出是否准许生产的决定。10个工作日内不能作出决定的，经本行政机关负责人批准，可以延长5个工作日，并应当将延长期限的理由告知申请人。</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第二十七条</w:t>
      </w:r>
      <w:r>
        <w:rPr>
          <w:rFonts w:hint="eastAsia" w:hAnsi="宋体"/>
          <w:szCs w:val="30"/>
        </w:rPr>
        <w:t>　准许生产证有效期内，现有工艺设备布局和工艺流程、主要生产设备设施、食品品种等事项发生变化的，需要变更准许生产证载明的许可事项的，食品生产加工小作坊应当在变化后10个工作日内向原发证的市场监督管理部门提出变更申请。</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申请变更准许生产许可的，应当提交下列申请材料：</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（一）食品生产加工小作坊准许生产许可变更申请书；</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（二）与变更准许生产许可事项有关的其他材料。</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第二十八条</w:t>
      </w:r>
      <w:r>
        <w:rPr>
          <w:rFonts w:hint="eastAsia" w:hAnsi="宋体"/>
          <w:szCs w:val="30"/>
        </w:rPr>
        <w:t>　生产场所迁址的，应当重新申请准许生产许可。</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第二十九条</w:t>
      </w:r>
      <w:r>
        <w:rPr>
          <w:rFonts w:hint="eastAsia" w:hAnsi="宋体"/>
          <w:szCs w:val="30"/>
        </w:rPr>
        <w:t>　准许生产证有效期为3年。</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食品生产加工小作坊需要延续准许生产许可有效期的，应当在该准许生产有效期届满30个工作日前，向原发证的市场监督管理部门提出申请。</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申请延续准许生产许可，应当提交下列材料：</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（一）食品生产加工准许生产许可延续申请书；</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（二）与延续准许生产许可事项有关的其他材料。</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第三十条</w:t>
      </w:r>
      <w:r>
        <w:rPr>
          <w:rFonts w:hint="eastAsia" w:hAnsi="宋体"/>
          <w:szCs w:val="30"/>
        </w:rPr>
        <w:t>　区市场监督管理局应当对变更或者延续准许生产许可的申请材料进行审查。</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申请人声明生产加工条件未发生变化的，区市场监督管理局可以不再进行现场核查。</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申请人的生产条件发生变化，可能影响食品安全的，市场监督管理部门应当就变化情况进行现场核查。</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第三十一条</w:t>
      </w:r>
      <w:r>
        <w:rPr>
          <w:rFonts w:hint="eastAsia" w:hAnsi="宋体"/>
          <w:szCs w:val="30"/>
        </w:rPr>
        <w:t>　区市场监督管理局应当对变更或者延续准许生产许可的申请自受理申请之日起10个工作日内作出是否准许生产的决定。10个工作日内不能作出决定的，经本行政机关负责人批准，可以延长5个工作日，并应当将延长期限的理由告知申请人，但对延续准许生产许可的申请，应当在该准许生产许可有效期届满前，作出是否准予延续的决定。</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申请人声明生产加工条件未发生变化的，区市场监督管理局对不再进行现场核查的变更或者延续准许生产许可的申请，应当自受理申请之日起5个工作日内作出是否准许生产的决定。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第三十二条</w:t>
      </w:r>
      <w:r>
        <w:rPr>
          <w:rFonts w:hint="eastAsia" w:hAnsi="宋体"/>
          <w:szCs w:val="30"/>
        </w:rPr>
        <w:t>　原发证的市场监督管理部门决定准予变更的，应当向申请人颁发新的准许生产证。准许生产证编号不变，发证日期为市场监督管理部门作出变更许可决定的日期，有效期与原证书一致。</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原发证的市场监督管理部门决定准予延续的，应当向申请人颁发新的准许生产许可证，许可证编号不变，有效期自市场监督管理部门作出延续许可决定之日起计算。</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不符合许可条件的，原发证的市场监督管理部门应当作出不予变更或延续食品生产许可的书面决定，并说明理由。</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第三十三条</w:t>
      </w:r>
      <w:r>
        <w:rPr>
          <w:rFonts w:hint="eastAsia" w:hAnsi="宋体"/>
          <w:szCs w:val="30"/>
        </w:rPr>
        <w:t>　准许生产证遗失、损坏的，应当向原发证的市场监督管理部门申请补办，并提交下列材料：</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（一）准许生产证补办申请书；</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（二）准许生产证遗失的，申请人应当提交在区市场监督管理局网站上刊登遗失公告的材料；准许生产证损坏的，应当提交损坏的准许生产证原件。</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材料符合要求的，区市场监督管理局应当在受理后1个工作日内予以补发。</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因遗失、损坏补发的准许生产证，许可证编号不变，发证日期和有效期与原证书保持一致。</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第三十四条</w:t>
      </w:r>
      <w:r>
        <w:rPr>
          <w:rFonts w:hint="eastAsia" w:hAnsi="宋体"/>
          <w:szCs w:val="30"/>
        </w:rPr>
        <w:t>　食品生产加工小作坊有下列情形之一的，发证部门应当依法注销准许生产证：</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（一）准许生产事项被依法撤回、撤销，或者准许生产证书被依法吊销的；</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（二）食品生产加工小作坊申请注销的或者准许生产证有效期满未延续的；</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（三）食品生产加工小作坊依法终止的；</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（四）因不可抗力导致准许生产事项无法实施的；</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（五）法律法规规定的应当注销准许生产证书的其他情形。</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41"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第四章　监督管理</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第三十五条</w:t>
      </w:r>
      <w:r>
        <w:rPr>
          <w:rFonts w:hint="eastAsia" w:hAnsi="宋体"/>
          <w:szCs w:val="30"/>
        </w:rPr>
        <w:t>　区市场监督管理局应当制定辖区内食品生产加工小作坊年度监督管理计划，并按照年度计划组织开展监督检查。</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第三十六条</w:t>
      </w:r>
      <w:r>
        <w:rPr>
          <w:rFonts w:hint="eastAsia" w:hAnsi="宋体"/>
          <w:szCs w:val="30"/>
        </w:rPr>
        <w:t>　区市场监督管理部门应当依据食品生产监督检查的相关规定，对辖区内食品生产加工小作坊进行监督检查，记录监督检查情况和处理结果。发现食品安全违法行为的，应当依据《中华人民共和国食品安全法》等法律法规进行查处。</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第三十七条</w:t>
      </w:r>
      <w:r>
        <w:rPr>
          <w:rFonts w:hint="eastAsia" w:hAnsi="宋体"/>
          <w:szCs w:val="30"/>
        </w:rPr>
        <w:t>　区市场监督管理局依据《上海市食品生产企业食品安全风险与信用分级管理办法》的相关规定，根据风险管理的原则，结合食品生产加工小作坊生产的食品类别、风险控制能力、信用状况、监督检查等情况，将食品生产加工小作坊的风险等级从低到高分为A级风险、B级风险、C级风险、D级风险四个等级。</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第三十八条</w:t>
      </w:r>
      <w:r>
        <w:rPr>
          <w:rFonts w:hint="eastAsia" w:hAnsi="宋体"/>
          <w:szCs w:val="30"/>
        </w:rPr>
        <w:t>　区市场监督管理局应当每两年对本行政区域内所有食品生产加工小作坊至少进行一次覆盖全部检查要点的监督检查。</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区市场监督管理局应当对风险等级为C级、D级的食品生产加工小作坊实施重点监督检查，并可以根据实际情况增加日常监督检查频次。</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市场监督管理部门可以根据工作需要，对通过食品安全抽样检验等发现问题线索的食品生产加工小作坊实施飞行检查。</w:t>
      </w:r>
    </w:p>
    <w:p>
      <w:pPr>
        <w:tabs>
          <w:tab w:val="left" w:pos="790"/>
          <w:tab w:val="left" w:pos="1264"/>
        </w:tabs>
        <w:overflowPunct w:val="0"/>
        <w:adjustRightInd w:val="0"/>
        <w:snapToGrid w:val="0"/>
        <w:spacing w:line="327" w:lineRule="auto"/>
        <w:ind w:firstLine="624"/>
        <w:rPr>
          <w:rFonts w:hAnsi="宋体"/>
          <w:szCs w:val="30"/>
        </w:rPr>
      </w:pPr>
      <w:r>
        <w:rPr>
          <w:rFonts w:hint="eastAsia" w:ascii="黑体" w:hAnsi="黑体" w:eastAsia="黑体" w:cs="黑体"/>
          <w:szCs w:val="30"/>
        </w:rPr>
        <w:t>第三十九条</w:t>
      </w:r>
      <w:r>
        <w:rPr>
          <w:rFonts w:hint="eastAsia" w:hAnsi="宋体"/>
          <w:szCs w:val="30"/>
        </w:rPr>
        <w:t>　区市场监督管理局应当按照规定在覆盖所有食品生产加工小作坊的基础上，结合食品生产加工小作坊信用状况，随机选取食品生产加工小作坊、随机选派监督检查人员实施监督检查。</w:t>
      </w:r>
    </w:p>
    <w:p>
      <w:pPr>
        <w:tabs>
          <w:tab w:val="left" w:pos="790"/>
          <w:tab w:val="left" w:pos="1264"/>
        </w:tabs>
        <w:overflowPunct w:val="0"/>
        <w:adjustRightInd w:val="0"/>
        <w:snapToGrid w:val="0"/>
        <w:spacing w:line="327" w:lineRule="auto"/>
        <w:ind w:firstLine="624"/>
        <w:rPr>
          <w:rFonts w:hAnsi="宋体"/>
          <w:szCs w:val="30"/>
        </w:rPr>
      </w:pPr>
      <w:r>
        <w:rPr>
          <w:rFonts w:hint="eastAsia" w:ascii="黑体" w:hAnsi="黑体" w:eastAsia="黑体" w:cs="黑体"/>
          <w:szCs w:val="30"/>
        </w:rPr>
        <w:t>第四十条</w:t>
      </w:r>
      <w:r>
        <w:rPr>
          <w:rFonts w:hint="eastAsia" w:hAnsi="宋体"/>
          <w:szCs w:val="30"/>
        </w:rPr>
        <w:t>　检查人员应当按照本办法规定和检查要点要求开展监督检查，并对监督检查情况如实记录。除飞行检查外，实施监督检查应当覆盖检查要点所有检查项目。</w:t>
      </w:r>
    </w:p>
    <w:p>
      <w:pPr>
        <w:tabs>
          <w:tab w:val="left" w:pos="790"/>
          <w:tab w:val="left" w:pos="1264"/>
        </w:tabs>
        <w:overflowPunct w:val="0"/>
        <w:adjustRightInd w:val="0"/>
        <w:snapToGrid w:val="0"/>
        <w:spacing w:line="327" w:lineRule="auto"/>
        <w:ind w:firstLine="624"/>
        <w:rPr>
          <w:rFonts w:hAnsi="宋体"/>
          <w:szCs w:val="30"/>
        </w:rPr>
      </w:pPr>
      <w:r>
        <w:rPr>
          <w:rFonts w:hint="eastAsia" w:ascii="黑体" w:hAnsi="黑体" w:eastAsia="黑体" w:cs="黑体"/>
          <w:szCs w:val="30"/>
        </w:rPr>
        <w:t>第四十一条</w:t>
      </w:r>
      <w:r>
        <w:rPr>
          <w:rFonts w:hint="eastAsia" w:hAnsi="宋体"/>
          <w:szCs w:val="30"/>
        </w:rPr>
        <w:t>　市场监督管理部门实施监督检查，可以根据需要，依照食品安全抽样检验管理有关规定，对食品生产加工小作坊使用的原料以及生产的半成品、成品等进行抽样检验。</w:t>
      </w:r>
    </w:p>
    <w:p>
      <w:pPr>
        <w:tabs>
          <w:tab w:val="left" w:pos="790"/>
          <w:tab w:val="left" w:pos="1264"/>
        </w:tabs>
        <w:overflowPunct w:val="0"/>
        <w:adjustRightInd w:val="0"/>
        <w:snapToGrid w:val="0"/>
        <w:spacing w:line="327" w:lineRule="auto"/>
        <w:ind w:firstLine="624"/>
        <w:rPr>
          <w:rFonts w:hAnsi="宋体"/>
          <w:szCs w:val="30"/>
        </w:rPr>
      </w:pPr>
      <w:r>
        <w:rPr>
          <w:rFonts w:hint="eastAsia" w:ascii="黑体" w:hAnsi="黑体" w:eastAsia="黑体" w:cs="黑体"/>
          <w:szCs w:val="30"/>
        </w:rPr>
        <w:t>第四十二条</w:t>
      </w:r>
      <w:r>
        <w:rPr>
          <w:rFonts w:hint="eastAsia" w:hAnsi="宋体"/>
          <w:szCs w:val="30"/>
        </w:rPr>
        <w:t>　区市场监督管理局应当建立食品生产加工小作坊信用档案，记录许可颁发、日常监督检查结果、违法行为查处等情况，依法向社会公布并及时更新。</w:t>
      </w:r>
    </w:p>
    <w:p>
      <w:pPr>
        <w:tabs>
          <w:tab w:val="left" w:pos="790"/>
          <w:tab w:val="left" w:pos="1264"/>
        </w:tabs>
        <w:overflowPunct w:val="0"/>
        <w:adjustRightInd w:val="0"/>
        <w:snapToGrid w:val="0"/>
        <w:spacing w:line="327" w:lineRule="auto"/>
        <w:ind w:firstLine="624"/>
        <w:rPr>
          <w:rFonts w:hAnsi="宋体"/>
          <w:szCs w:val="30"/>
        </w:rPr>
      </w:pPr>
      <w:r>
        <w:rPr>
          <w:rFonts w:hint="eastAsia" w:ascii="黑体" w:hAnsi="黑体" w:eastAsia="黑体" w:cs="黑体"/>
          <w:szCs w:val="30"/>
        </w:rPr>
        <w:t>第四十三条</w:t>
      </w:r>
      <w:r>
        <w:rPr>
          <w:rFonts w:hint="eastAsia" w:hAnsi="宋体"/>
          <w:szCs w:val="30"/>
        </w:rPr>
        <w:t>　食品生产加工小作坊生产过程中存在食品安全隐患，未及时采取措施消除的，区市场监督管理部门可以对食品生产加工小作坊业主进行责任约谈。食品生产加工小作坊应当立即采取措施，进行整改，消除隐患。责任约谈情况和整改情况应当纳入食品生产加工小作坊食品安全信用档案。对存在严重违法失信行为的，按照规定实施联合惩戒。</w:t>
      </w:r>
    </w:p>
    <w:p>
      <w:pPr>
        <w:tabs>
          <w:tab w:val="left" w:pos="790"/>
          <w:tab w:val="left" w:pos="1264"/>
        </w:tabs>
        <w:overflowPunct w:val="0"/>
        <w:adjustRightInd w:val="0"/>
        <w:snapToGrid w:val="0"/>
        <w:spacing w:line="327" w:lineRule="auto"/>
        <w:ind w:firstLine="624"/>
        <w:rPr>
          <w:rFonts w:hAnsi="宋体"/>
          <w:szCs w:val="30"/>
        </w:rPr>
      </w:pPr>
    </w:p>
    <w:p>
      <w:pPr>
        <w:tabs>
          <w:tab w:val="left" w:pos="790"/>
          <w:tab w:val="left" w:pos="1264"/>
        </w:tabs>
        <w:overflowPunct w:val="0"/>
        <w:adjustRightInd w:val="0"/>
        <w:snapToGrid w:val="0"/>
        <w:spacing w:after="120" w:line="327"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第五章　附　则</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第四十四条</w:t>
      </w:r>
      <w:r>
        <w:rPr>
          <w:rFonts w:hint="eastAsia" w:hAnsi="宋体"/>
          <w:szCs w:val="30"/>
        </w:rPr>
        <w:t>　本办法下列用语的含义：</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食品生产加工小作坊，是指在食品生产加工环节，有独立固定生产加工场所、从事具有地方特色、一般不实行规模化生产的食品生产加工（不含现制现售）单位和个人。</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第四十五条</w:t>
      </w:r>
      <w:r>
        <w:rPr>
          <w:rFonts w:hint="eastAsia" w:hAnsi="宋体"/>
          <w:szCs w:val="30"/>
        </w:rPr>
        <w:t>　市场监督管理部门制作的准许生产证电子证书与印制的准许生产证书具有同等法律效力。</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第四十六条</w:t>
      </w:r>
      <w:r>
        <w:rPr>
          <w:rFonts w:hint="eastAsia" w:hAnsi="宋体"/>
          <w:szCs w:val="30"/>
        </w:rPr>
        <w:t>　本办法自2022年8月18日起施行，有效期至2027年8月17日。原上海市食品药品监督管理局发布的《上海市食品生产加工小作坊监督管理办法》（沪食药监规〔2017〕6号）同时废止。</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附件：上海市食品生产加工小作坊许可现场核查评分记录</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line="336" w:lineRule="auto"/>
        <w:ind w:firstLine="624"/>
        <w:rPr>
          <w:rFonts w:hAnsi="宋体"/>
          <w:szCs w:val="30"/>
        </w:rPr>
      </w:pPr>
    </w:p>
    <w:p>
      <w:pPr>
        <w:snapToGrid w:val="0"/>
        <w:spacing w:line="360" w:lineRule="auto"/>
        <w:jc w:val="left"/>
        <w:rPr>
          <w:rFonts w:ascii="黑体" w:hAnsi="黑体" w:eastAsia="黑体" w:cs="黑体"/>
          <w:szCs w:val="32"/>
        </w:rPr>
        <w:sectPr>
          <w:footerReference r:id="rId3" w:type="default"/>
          <w:footerReference r:id="rId4" w:type="even"/>
          <w:pgSz w:w="11906" w:h="16838"/>
          <w:pgMar w:top="2098" w:right="1474" w:bottom="1984" w:left="1587" w:header="851" w:footer="1417" w:gutter="0"/>
          <w:cols w:space="0" w:num="1"/>
          <w:docGrid w:type="linesAndChars" w:linePitch="579" w:charSpace="-842"/>
        </w:sectPr>
      </w:pPr>
    </w:p>
    <w:p>
      <w:pPr>
        <w:tabs>
          <w:tab w:val="left" w:pos="790"/>
          <w:tab w:val="left" w:pos="1264"/>
        </w:tabs>
        <w:overflowPunct w:val="0"/>
        <w:adjustRightInd w:val="0"/>
        <w:snapToGrid w:val="0"/>
        <w:rPr>
          <w:rFonts w:ascii="黑体" w:eastAsia="黑体"/>
          <w:szCs w:val="30"/>
        </w:rPr>
      </w:pPr>
      <w:r>
        <w:rPr>
          <w:rFonts w:hint="eastAsia" w:ascii="黑体" w:eastAsia="黑体"/>
          <w:szCs w:val="30"/>
        </w:rPr>
        <w:t>附件</w:t>
      </w:r>
    </w:p>
    <w:p>
      <w:pPr>
        <w:overflowPunct w:val="0"/>
        <w:adjustRightInd w:val="0"/>
        <w:snapToGrid w:val="0"/>
        <w:spacing w:line="336" w:lineRule="auto"/>
        <w:rPr>
          <w:szCs w:val="30"/>
        </w:rPr>
      </w:pPr>
    </w:p>
    <w:p>
      <w:pPr>
        <w:overflowPunct w:val="0"/>
        <w:adjustRightInd w:val="0"/>
        <w:snapToGrid w:val="0"/>
        <w:spacing w:line="336" w:lineRule="auto"/>
        <w:rPr>
          <w:szCs w:val="30"/>
        </w:rPr>
      </w:pPr>
    </w:p>
    <w:p>
      <w:pPr>
        <w:tabs>
          <w:tab w:val="left" w:pos="790"/>
        </w:tabs>
        <w:overflowPunct w:val="0"/>
        <w:adjustRightInd w:val="0"/>
        <w:snapToGrid w:val="0"/>
        <w:jc w:val="center"/>
        <w:rPr>
          <w:rFonts w:ascii="方正小标宋简体" w:hAnsi="宋体" w:eastAsia="方正小标宋简体"/>
          <w:sz w:val="48"/>
          <w:szCs w:val="48"/>
        </w:rPr>
      </w:pPr>
      <w:r>
        <w:rPr>
          <w:rFonts w:hint="eastAsia" w:ascii="方正小标宋简体" w:hAnsi="宋体" w:eastAsia="方正小标宋简体"/>
          <w:sz w:val="48"/>
          <w:szCs w:val="48"/>
        </w:rPr>
        <w:t>上海市食品生产加工小作坊许可现场核查评分记录表</w:t>
      </w: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420" w:lineRule="auto"/>
        <w:ind w:left="2778"/>
        <w:rPr>
          <w:szCs w:val="30"/>
        </w:rPr>
      </w:pPr>
      <w:r>
        <w:rPr>
          <w:rFonts w:hint="eastAsia"/>
          <w:szCs w:val="30"/>
        </w:rPr>
        <w:t>申请人名称：</w:t>
      </w:r>
      <w:r>
        <w:rPr>
          <w:rFonts w:hint="eastAsia"/>
          <w:szCs w:val="30"/>
          <w:u w:val="single"/>
        </w:rPr>
        <w:t>　　　　　　　　　　　　　　　　　</w:t>
      </w:r>
    </w:p>
    <w:p>
      <w:pPr>
        <w:tabs>
          <w:tab w:val="left" w:pos="4410"/>
        </w:tabs>
        <w:overflowPunct w:val="0"/>
        <w:adjustRightInd w:val="0"/>
        <w:snapToGrid w:val="0"/>
        <w:spacing w:line="420" w:lineRule="auto"/>
        <w:ind w:left="2778"/>
        <w:rPr>
          <w:szCs w:val="30"/>
        </w:rPr>
      </w:pPr>
      <w:r>
        <w:rPr>
          <w:rFonts w:hint="eastAsia"/>
          <w:spacing w:val="52"/>
          <w:szCs w:val="30"/>
        </w:rPr>
        <w:t>生产品</w:t>
      </w:r>
      <w:r>
        <w:rPr>
          <w:rFonts w:hint="eastAsia"/>
          <w:szCs w:val="30"/>
        </w:rPr>
        <w:t>种：</w:t>
      </w:r>
      <w:r>
        <w:rPr>
          <w:rFonts w:hint="eastAsia"/>
          <w:szCs w:val="30"/>
          <w:u w:val="single"/>
        </w:rPr>
        <w:t>　　　　　　　　　　　　　　　　　</w:t>
      </w:r>
    </w:p>
    <w:p>
      <w:pPr>
        <w:tabs>
          <w:tab w:val="left" w:pos="4410"/>
        </w:tabs>
        <w:overflowPunct w:val="0"/>
        <w:adjustRightInd w:val="0"/>
        <w:snapToGrid w:val="0"/>
        <w:spacing w:line="420" w:lineRule="auto"/>
        <w:ind w:left="2778"/>
        <w:rPr>
          <w:szCs w:val="30"/>
        </w:rPr>
      </w:pPr>
      <w:r>
        <w:rPr>
          <w:rFonts w:hint="eastAsia"/>
          <w:spacing w:val="-1"/>
          <w:w w:val="85"/>
          <w:szCs w:val="30"/>
        </w:rPr>
        <w:t>生产场所地址</w:t>
      </w:r>
      <w:r>
        <w:rPr>
          <w:rFonts w:hint="eastAsia"/>
          <w:szCs w:val="30"/>
        </w:rPr>
        <w:t>：</w:t>
      </w:r>
      <w:r>
        <w:rPr>
          <w:rFonts w:hint="eastAsia"/>
          <w:szCs w:val="30"/>
          <w:u w:val="single"/>
        </w:rPr>
        <w:t>　　　　　　　　　　　　　　　　　</w:t>
      </w:r>
    </w:p>
    <w:p>
      <w:pPr>
        <w:overflowPunct w:val="0"/>
        <w:adjustRightInd w:val="0"/>
        <w:snapToGrid w:val="0"/>
        <w:spacing w:line="420" w:lineRule="auto"/>
        <w:ind w:left="2778"/>
        <w:rPr>
          <w:szCs w:val="30"/>
        </w:rPr>
      </w:pPr>
      <w:r>
        <w:rPr>
          <w:rFonts w:hint="eastAsia"/>
          <w:spacing w:val="52"/>
          <w:szCs w:val="30"/>
        </w:rPr>
        <w:t>核查日</w:t>
      </w:r>
      <w:r>
        <w:rPr>
          <w:rFonts w:hint="eastAsia"/>
          <w:szCs w:val="30"/>
        </w:rPr>
        <w:t>期：</w:t>
      </w:r>
      <w:r>
        <w:rPr>
          <w:rFonts w:hint="eastAsia"/>
          <w:szCs w:val="30"/>
          <w:u w:val="single"/>
        </w:rPr>
        <w:t>　　　　　　　　　　　　　　　　　</w:t>
      </w: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tbl>
      <w:tblPr>
        <w:tblStyle w:val="4"/>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01"/>
        <w:gridCol w:w="4309"/>
        <w:gridCol w:w="1417"/>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50" w:type="dxa"/>
            <w:vMerge w:val="restart"/>
            <w:tcBorders>
              <w:tl2br w:val="nil"/>
              <w:tr2bl w:val="nil"/>
            </w:tcBorders>
            <w:noWrap/>
            <w:vAlign w:val="center"/>
          </w:tcPr>
          <w:p>
            <w:pPr>
              <w:adjustRightInd w:val="0"/>
              <w:snapToGrid w:val="0"/>
              <w:spacing w:line="360" w:lineRule="auto"/>
              <w:jc w:val="center"/>
              <w:rPr>
                <w:rFonts w:ascii="黑体" w:hAnsi="黑体" w:eastAsia="黑体" w:cs="黑体"/>
                <w:szCs w:val="32"/>
              </w:rPr>
            </w:pPr>
            <w:r>
              <w:rPr>
                <w:rFonts w:hint="eastAsia" w:ascii="黑体" w:hAnsi="黑体" w:eastAsia="黑体" w:cs="黑体"/>
                <w:szCs w:val="32"/>
              </w:rPr>
              <w:t>核</w:t>
            </w:r>
          </w:p>
          <w:p>
            <w:pPr>
              <w:adjustRightInd w:val="0"/>
              <w:snapToGrid w:val="0"/>
              <w:spacing w:line="360" w:lineRule="auto"/>
              <w:jc w:val="center"/>
              <w:rPr>
                <w:rFonts w:ascii="黑体" w:hAnsi="黑体" w:eastAsia="黑体" w:cs="黑体"/>
                <w:szCs w:val="32"/>
              </w:rPr>
            </w:pPr>
            <w:r>
              <w:rPr>
                <w:rFonts w:hint="eastAsia" w:ascii="黑体" w:hAnsi="黑体" w:eastAsia="黑体" w:cs="黑体"/>
                <w:szCs w:val="32"/>
              </w:rPr>
              <w:t>查</w:t>
            </w:r>
          </w:p>
          <w:p>
            <w:pPr>
              <w:adjustRightInd w:val="0"/>
              <w:snapToGrid w:val="0"/>
              <w:spacing w:line="360" w:lineRule="auto"/>
              <w:jc w:val="center"/>
              <w:rPr>
                <w:rFonts w:ascii="黑体" w:hAnsi="黑体" w:eastAsia="黑体" w:cs="黑体"/>
                <w:szCs w:val="32"/>
              </w:rPr>
            </w:pPr>
            <w:r>
              <w:rPr>
                <w:rFonts w:hint="eastAsia" w:ascii="黑体" w:hAnsi="黑体" w:eastAsia="黑体" w:cs="黑体"/>
                <w:szCs w:val="32"/>
              </w:rPr>
              <w:t>组</w:t>
            </w:r>
          </w:p>
          <w:p>
            <w:pPr>
              <w:adjustRightInd w:val="0"/>
              <w:snapToGrid w:val="0"/>
              <w:spacing w:line="360" w:lineRule="auto"/>
              <w:jc w:val="center"/>
              <w:rPr>
                <w:rFonts w:ascii="黑体" w:hAnsi="黑体" w:eastAsia="黑体" w:cs="黑体"/>
                <w:szCs w:val="32"/>
              </w:rPr>
            </w:pPr>
            <w:r>
              <w:rPr>
                <w:rFonts w:hint="eastAsia" w:ascii="黑体" w:hAnsi="黑体" w:eastAsia="黑体" w:cs="黑体"/>
                <w:szCs w:val="32"/>
              </w:rPr>
              <w:t>成</w:t>
            </w:r>
          </w:p>
          <w:p>
            <w:pPr>
              <w:adjustRightInd w:val="0"/>
              <w:snapToGrid w:val="0"/>
              <w:jc w:val="center"/>
              <w:rPr>
                <w:rFonts w:ascii="黑体" w:hAnsi="黑体" w:eastAsia="黑体" w:cs="黑体"/>
                <w:szCs w:val="32"/>
              </w:rPr>
            </w:pPr>
            <w:r>
              <w:rPr>
                <w:rFonts w:hint="eastAsia" w:ascii="黑体" w:hAnsi="黑体" w:eastAsia="黑体" w:cs="黑体"/>
                <w:szCs w:val="32"/>
              </w:rPr>
              <w:t>员</w:t>
            </w:r>
          </w:p>
        </w:tc>
        <w:tc>
          <w:tcPr>
            <w:tcW w:w="1701"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姓名</w:t>
            </w:r>
          </w:p>
          <w:p>
            <w:pPr>
              <w:adjustRightInd w:val="0"/>
              <w:snapToGrid w:val="0"/>
              <w:jc w:val="center"/>
              <w:rPr>
                <w:rFonts w:ascii="黑体" w:hAnsi="黑体" w:eastAsia="黑体" w:cs="黑体"/>
                <w:sz w:val="28"/>
                <w:szCs w:val="28"/>
              </w:rPr>
            </w:pPr>
            <w:r>
              <w:rPr>
                <w:rFonts w:hint="eastAsia" w:ascii="黑体" w:hAnsi="黑体" w:eastAsia="黑体" w:cs="黑体"/>
                <w:sz w:val="28"/>
                <w:szCs w:val="28"/>
              </w:rPr>
              <w:t>（签名）</w:t>
            </w:r>
          </w:p>
        </w:tc>
        <w:tc>
          <w:tcPr>
            <w:tcW w:w="4309"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单　位</w:t>
            </w:r>
          </w:p>
        </w:tc>
        <w:tc>
          <w:tcPr>
            <w:tcW w:w="1417"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职务</w:t>
            </w:r>
          </w:p>
        </w:tc>
        <w:tc>
          <w:tcPr>
            <w:tcW w:w="2268"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核查分工</w:t>
            </w:r>
          </w:p>
        </w:tc>
        <w:tc>
          <w:tcPr>
            <w:tcW w:w="2268" w:type="dxa"/>
            <w:tcBorders>
              <w:tl2br w:val="nil"/>
              <w:tr2bl w:val="nil"/>
            </w:tcBorders>
            <w:noWrap/>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核查员证书编号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50" w:type="dxa"/>
            <w:vMerge w:val="continue"/>
            <w:tcBorders>
              <w:tl2br w:val="nil"/>
              <w:tr2bl w:val="nil"/>
            </w:tcBorders>
            <w:noWrap/>
            <w:vAlign w:val="center"/>
          </w:tcPr>
          <w:p>
            <w:pPr>
              <w:adjustRightInd w:val="0"/>
              <w:snapToGrid w:val="0"/>
              <w:jc w:val="center"/>
              <w:rPr>
                <w:rFonts w:hAnsi="仿宋_GB2312" w:cs="仿宋_GB2312"/>
                <w:sz w:val="24"/>
              </w:rPr>
            </w:pPr>
          </w:p>
        </w:tc>
        <w:tc>
          <w:tcPr>
            <w:tcW w:w="1701" w:type="dxa"/>
            <w:tcBorders>
              <w:tl2br w:val="nil"/>
              <w:tr2bl w:val="nil"/>
            </w:tcBorders>
            <w:noWrap/>
            <w:vAlign w:val="center"/>
          </w:tcPr>
          <w:p>
            <w:pPr>
              <w:adjustRightInd w:val="0"/>
              <w:snapToGrid w:val="0"/>
              <w:jc w:val="center"/>
              <w:rPr>
                <w:rFonts w:hAnsi="仿宋_GB2312" w:cs="仿宋_GB2312"/>
                <w:sz w:val="28"/>
                <w:szCs w:val="28"/>
              </w:rPr>
            </w:pPr>
          </w:p>
        </w:tc>
        <w:tc>
          <w:tcPr>
            <w:tcW w:w="4309" w:type="dxa"/>
            <w:tcBorders>
              <w:tl2br w:val="nil"/>
              <w:tr2bl w:val="nil"/>
            </w:tcBorders>
            <w:noWrap/>
            <w:vAlign w:val="center"/>
          </w:tcPr>
          <w:p>
            <w:pPr>
              <w:adjustRightInd w:val="0"/>
              <w:snapToGrid w:val="0"/>
              <w:jc w:val="center"/>
              <w:rPr>
                <w:rFonts w:hAnsi="仿宋_GB2312" w:cs="仿宋_GB2312"/>
                <w:sz w:val="28"/>
                <w:szCs w:val="28"/>
              </w:rPr>
            </w:pPr>
          </w:p>
        </w:tc>
        <w:tc>
          <w:tcPr>
            <w:tcW w:w="1417"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组长</w:t>
            </w: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50" w:type="dxa"/>
            <w:vMerge w:val="continue"/>
            <w:tcBorders>
              <w:tl2br w:val="nil"/>
              <w:tr2bl w:val="nil"/>
            </w:tcBorders>
            <w:noWrap/>
            <w:vAlign w:val="center"/>
          </w:tcPr>
          <w:p>
            <w:pPr>
              <w:adjustRightInd w:val="0"/>
              <w:snapToGrid w:val="0"/>
              <w:jc w:val="center"/>
              <w:rPr>
                <w:rFonts w:hAnsi="仿宋_GB2312" w:cs="仿宋_GB2312"/>
                <w:sz w:val="24"/>
              </w:rPr>
            </w:pPr>
          </w:p>
        </w:tc>
        <w:tc>
          <w:tcPr>
            <w:tcW w:w="1701" w:type="dxa"/>
            <w:tcBorders>
              <w:tl2br w:val="nil"/>
              <w:tr2bl w:val="nil"/>
            </w:tcBorders>
            <w:noWrap/>
            <w:vAlign w:val="center"/>
          </w:tcPr>
          <w:p>
            <w:pPr>
              <w:adjustRightInd w:val="0"/>
              <w:snapToGrid w:val="0"/>
              <w:jc w:val="center"/>
              <w:rPr>
                <w:rFonts w:hAnsi="仿宋_GB2312" w:cs="仿宋_GB2312"/>
                <w:sz w:val="28"/>
                <w:szCs w:val="28"/>
              </w:rPr>
            </w:pPr>
          </w:p>
        </w:tc>
        <w:tc>
          <w:tcPr>
            <w:tcW w:w="4309" w:type="dxa"/>
            <w:tcBorders>
              <w:tl2br w:val="nil"/>
              <w:tr2bl w:val="nil"/>
            </w:tcBorders>
            <w:noWrap/>
            <w:vAlign w:val="center"/>
          </w:tcPr>
          <w:p>
            <w:pPr>
              <w:adjustRightInd w:val="0"/>
              <w:snapToGrid w:val="0"/>
              <w:jc w:val="center"/>
              <w:rPr>
                <w:rFonts w:hAnsi="仿宋_GB2312" w:cs="仿宋_GB2312"/>
                <w:sz w:val="28"/>
                <w:szCs w:val="28"/>
              </w:rPr>
            </w:pPr>
          </w:p>
        </w:tc>
        <w:tc>
          <w:tcPr>
            <w:tcW w:w="1417"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组员</w:t>
            </w: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50" w:type="dxa"/>
            <w:vMerge w:val="continue"/>
            <w:tcBorders>
              <w:tl2br w:val="nil"/>
              <w:tr2bl w:val="nil"/>
            </w:tcBorders>
            <w:noWrap/>
            <w:vAlign w:val="center"/>
          </w:tcPr>
          <w:p>
            <w:pPr>
              <w:adjustRightInd w:val="0"/>
              <w:snapToGrid w:val="0"/>
              <w:jc w:val="center"/>
              <w:rPr>
                <w:rFonts w:hAnsi="仿宋_GB2312" w:cs="仿宋_GB2312"/>
                <w:sz w:val="24"/>
              </w:rPr>
            </w:pPr>
          </w:p>
        </w:tc>
        <w:tc>
          <w:tcPr>
            <w:tcW w:w="1701" w:type="dxa"/>
            <w:tcBorders>
              <w:tl2br w:val="nil"/>
              <w:tr2bl w:val="nil"/>
            </w:tcBorders>
            <w:noWrap/>
            <w:vAlign w:val="center"/>
          </w:tcPr>
          <w:p>
            <w:pPr>
              <w:adjustRightInd w:val="0"/>
              <w:snapToGrid w:val="0"/>
              <w:jc w:val="center"/>
              <w:rPr>
                <w:rFonts w:hAnsi="仿宋_GB2312" w:cs="仿宋_GB2312"/>
                <w:sz w:val="28"/>
                <w:szCs w:val="28"/>
              </w:rPr>
            </w:pPr>
          </w:p>
        </w:tc>
        <w:tc>
          <w:tcPr>
            <w:tcW w:w="4309" w:type="dxa"/>
            <w:tcBorders>
              <w:tl2br w:val="nil"/>
              <w:tr2bl w:val="nil"/>
            </w:tcBorders>
            <w:noWrap/>
            <w:vAlign w:val="center"/>
          </w:tcPr>
          <w:p>
            <w:pPr>
              <w:adjustRightInd w:val="0"/>
              <w:snapToGrid w:val="0"/>
              <w:jc w:val="center"/>
              <w:rPr>
                <w:rFonts w:hAnsi="仿宋_GB2312" w:cs="仿宋_GB2312"/>
                <w:sz w:val="28"/>
                <w:szCs w:val="28"/>
              </w:rPr>
            </w:pPr>
          </w:p>
        </w:tc>
        <w:tc>
          <w:tcPr>
            <w:tcW w:w="1417" w:type="dxa"/>
            <w:tcBorders>
              <w:tl2br w:val="nil"/>
              <w:tr2bl w:val="nil"/>
            </w:tcBorders>
            <w:noWrap/>
            <w:vAlign w:val="center"/>
          </w:tcPr>
          <w:p>
            <w:pPr>
              <w:adjustRightInd w:val="0"/>
              <w:snapToGrid w:val="0"/>
              <w:jc w:val="center"/>
              <w:rPr>
                <w:rFonts w:hAnsi="仿宋_GB2312" w:cs="仿宋_GB2312"/>
                <w:sz w:val="28"/>
                <w:szCs w:val="28"/>
              </w:rPr>
            </w:pPr>
            <w:r>
              <w:rPr>
                <w:rFonts w:hint="eastAsia" w:hAnsi="仿宋_GB2312" w:cs="仿宋_GB2312"/>
                <w:sz w:val="28"/>
                <w:szCs w:val="28"/>
              </w:rPr>
              <w:t>组员</w:t>
            </w: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50" w:type="dxa"/>
            <w:vMerge w:val="continue"/>
            <w:tcBorders>
              <w:tl2br w:val="nil"/>
              <w:tr2bl w:val="nil"/>
            </w:tcBorders>
            <w:noWrap/>
            <w:vAlign w:val="center"/>
          </w:tcPr>
          <w:p>
            <w:pPr>
              <w:adjustRightInd w:val="0"/>
              <w:snapToGrid w:val="0"/>
              <w:jc w:val="center"/>
              <w:rPr>
                <w:rFonts w:hAnsi="仿宋_GB2312" w:cs="仿宋_GB2312"/>
                <w:sz w:val="24"/>
              </w:rPr>
            </w:pPr>
          </w:p>
        </w:tc>
        <w:tc>
          <w:tcPr>
            <w:tcW w:w="1701" w:type="dxa"/>
            <w:tcBorders>
              <w:tl2br w:val="nil"/>
              <w:tr2bl w:val="nil"/>
            </w:tcBorders>
            <w:noWrap/>
            <w:vAlign w:val="center"/>
          </w:tcPr>
          <w:p>
            <w:pPr>
              <w:adjustRightInd w:val="0"/>
              <w:snapToGrid w:val="0"/>
              <w:jc w:val="center"/>
              <w:rPr>
                <w:rFonts w:hAnsi="仿宋_GB2312" w:cs="仿宋_GB2312"/>
                <w:sz w:val="28"/>
                <w:szCs w:val="28"/>
              </w:rPr>
            </w:pPr>
          </w:p>
        </w:tc>
        <w:tc>
          <w:tcPr>
            <w:tcW w:w="4309" w:type="dxa"/>
            <w:tcBorders>
              <w:tl2br w:val="nil"/>
              <w:tr2bl w:val="nil"/>
            </w:tcBorders>
            <w:noWrap/>
            <w:vAlign w:val="center"/>
          </w:tcPr>
          <w:p>
            <w:pPr>
              <w:adjustRightInd w:val="0"/>
              <w:snapToGrid w:val="0"/>
              <w:jc w:val="center"/>
              <w:rPr>
                <w:rFonts w:hAnsi="仿宋_GB2312" w:cs="仿宋_GB2312"/>
                <w:sz w:val="28"/>
                <w:szCs w:val="28"/>
              </w:rPr>
            </w:pPr>
          </w:p>
        </w:tc>
        <w:tc>
          <w:tcPr>
            <w:tcW w:w="1417" w:type="dxa"/>
            <w:tcBorders>
              <w:tl2br w:val="nil"/>
              <w:tr2bl w:val="nil"/>
            </w:tcBorders>
            <w:noWrap/>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50" w:type="dxa"/>
            <w:vMerge w:val="continue"/>
            <w:tcBorders>
              <w:tl2br w:val="nil"/>
              <w:tr2bl w:val="nil"/>
            </w:tcBorders>
            <w:noWrap/>
            <w:vAlign w:val="center"/>
          </w:tcPr>
          <w:p>
            <w:pPr>
              <w:adjustRightInd w:val="0"/>
              <w:snapToGrid w:val="0"/>
              <w:jc w:val="center"/>
              <w:rPr>
                <w:rFonts w:hAnsi="仿宋_GB2312" w:cs="仿宋_GB2312"/>
                <w:sz w:val="24"/>
              </w:rPr>
            </w:pPr>
          </w:p>
        </w:tc>
        <w:tc>
          <w:tcPr>
            <w:tcW w:w="1701" w:type="dxa"/>
            <w:tcBorders>
              <w:tl2br w:val="nil"/>
              <w:tr2bl w:val="nil"/>
            </w:tcBorders>
            <w:noWrap/>
            <w:vAlign w:val="center"/>
          </w:tcPr>
          <w:p>
            <w:pPr>
              <w:adjustRightInd w:val="0"/>
              <w:snapToGrid w:val="0"/>
              <w:jc w:val="center"/>
              <w:rPr>
                <w:rFonts w:hAnsi="仿宋_GB2312" w:cs="仿宋_GB2312"/>
                <w:sz w:val="28"/>
                <w:szCs w:val="28"/>
              </w:rPr>
            </w:pPr>
          </w:p>
        </w:tc>
        <w:tc>
          <w:tcPr>
            <w:tcW w:w="4309" w:type="dxa"/>
            <w:tcBorders>
              <w:tl2br w:val="nil"/>
              <w:tr2bl w:val="nil"/>
            </w:tcBorders>
            <w:noWrap/>
            <w:vAlign w:val="center"/>
          </w:tcPr>
          <w:p>
            <w:pPr>
              <w:adjustRightInd w:val="0"/>
              <w:snapToGrid w:val="0"/>
              <w:jc w:val="center"/>
              <w:rPr>
                <w:rFonts w:hAnsi="仿宋_GB2312" w:cs="仿宋_GB2312"/>
                <w:sz w:val="28"/>
                <w:szCs w:val="28"/>
              </w:rPr>
            </w:pPr>
          </w:p>
        </w:tc>
        <w:tc>
          <w:tcPr>
            <w:tcW w:w="1417" w:type="dxa"/>
            <w:tcBorders>
              <w:tl2br w:val="nil"/>
              <w:tr2bl w:val="nil"/>
            </w:tcBorders>
            <w:noWrap/>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50" w:type="dxa"/>
            <w:vMerge w:val="continue"/>
            <w:tcBorders>
              <w:tl2br w:val="nil"/>
              <w:tr2bl w:val="nil"/>
            </w:tcBorders>
            <w:noWrap/>
            <w:vAlign w:val="center"/>
          </w:tcPr>
          <w:p>
            <w:pPr>
              <w:adjustRightInd w:val="0"/>
              <w:snapToGrid w:val="0"/>
              <w:jc w:val="center"/>
              <w:rPr>
                <w:rFonts w:hAnsi="仿宋_GB2312" w:cs="仿宋_GB2312"/>
                <w:sz w:val="24"/>
              </w:rPr>
            </w:pPr>
          </w:p>
        </w:tc>
        <w:tc>
          <w:tcPr>
            <w:tcW w:w="1701" w:type="dxa"/>
            <w:tcBorders>
              <w:tl2br w:val="nil"/>
              <w:tr2bl w:val="nil"/>
            </w:tcBorders>
            <w:noWrap/>
            <w:vAlign w:val="center"/>
          </w:tcPr>
          <w:p>
            <w:pPr>
              <w:adjustRightInd w:val="0"/>
              <w:snapToGrid w:val="0"/>
              <w:jc w:val="center"/>
              <w:rPr>
                <w:rFonts w:hAnsi="仿宋_GB2312" w:cs="仿宋_GB2312"/>
                <w:sz w:val="28"/>
                <w:szCs w:val="28"/>
              </w:rPr>
            </w:pPr>
          </w:p>
        </w:tc>
        <w:tc>
          <w:tcPr>
            <w:tcW w:w="4309" w:type="dxa"/>
            <w:tcBorders>
              <w:tl2br w:val="nil"/>
              <w:tr2bl w:val="nil"/>
            </w:tcBorders>
            <w:noWrap/>
            <w:vAlign w:val="center"/>
          </w:tcPr>
          <w:p>
            <w:pPr>
              <w:adjustRightInd w:val="0"/>
              <w:snapToGrid w:val="0"/>
              <w:jc w:val="center"/>
              <w:rPr>
                <w:rFonts w:hAnsi="仿宋_GB2312" w:cs="仿宋_GB2312"/>
                <w:sz w:val="28"/>
                <w:szCs w:val="28"/>
              </w:rPr>
            </w:pPr>
          </w:p>
        </w:tc>
        <w:tc>
          <w:tcPr>
            <w:tcW w:w="1417" w:type="dxa"/>
            <w:tcBorders>
              <w:tl2br w:val="nil"/>
              <w:tr2bl w:val="nil"/>
            </w:tcBorders>
            <w:noWrap/>
            <w:vAlign w:val="center"/>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c>
          <w:tcPr>
            <w:tcW w:w="2268" w:type="dxa"/>
            <w:tcBorders>
              <w:tl2br w:val="nil"/>
              <w:tr2bl w:val="nil"/>
            </w:tcBorders>
            <w:noWrap/>
            <w:vAlign w:val="center"/>
          </w:tcPr>
          <w:p>
            <w:pPr>
              <w:adjustRightInd w:val="0"/>
              <w:snapToGrid w:val="0"/>
              <w:jc w:val="center"/>
              <w:rPr>
                <w:rFonts w:hAnsi="仿宋_GB2312" w:cs="仿宋_GB2312"/>
                <w:sz w:val="28"/>
                <w:szCs w:val="28"/>
              </w:rPr>
            </w:pPr>
          </w:p>
        </w:tc>
      </w:tr>
    </w:tbl>
    <w:p>
      <w:pPr>
        <w:overflowPunct w:val="0"/>
        <w:adjustRightInd w:val="0"/>
        <w:snapToGrid w:val="0"/>
        <w:spacing w:line="336" w:lineRule="auto"/>
        <w:rPr>
          <w:sz w:val="24"/>
          <w:szCs w:val="24"/>
        </w:rPr>
      </w:pP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使用说明</w:t>
      </w:r>
    </w:p>
    <w:p>
      <w:pPr>
        <w:overflowPunct w:val="0"/>
        <w:adjustRightInd w:val="0"/>
        <w:snapToGrid w:val="0"/>
        <w:spacing w:line="336" w:lineRule="auto"/>
        <w:ind w:firstLine="567"/>
        <w:rPr>
          <w:sz w:val="28"/>
          <w:szCs w:val="28"/>
        </w:rPr>
      </w:pPr>
    </w:p>
    <w:p>
      <w:pPr>
        <w:overflowPunct w:val="0"/>
        <w:adjustRightInd w:val="0"/>
        <w:snapToGrid w:val="0"/>
        <w:spacing w:line="336" w:lineRule="auto"/>
        <w:ind w:firstLine="567"/>
        <w:rPr>
          <w:sz w:val="28"/>
          <w:szCs w:val="28"/>
        </w:rPr>
      </w:pPr>
      <w:r>
        <w:rPr>
          <w:rFonts w:hint="eastAsia"/>
          <w:sz w:val="28"/>
          <w:szCs w:val="28"/>
        </w:rPr>
        <w:t>1．本记录表依据《中华人民共和国食品安全法》《上海市食品安全条例》《食品生产许可管理办法》等法律法规、部门规章以及相关食品安全国家标准的要求制定。</w:t>
      </w:r>
    </w:p>
    <w:p>
      <w:pPr>
        <w:overflowPunct w:val="0"/>
        <w:adjustRightInd w:val="0"/>
        <w:snapToGrid w:val="0"/>
        <w:spacing w:line="336" w:lineRule="auto"/>
        <w:ind w:firstLine="567"/>
        <w:rPr>
          <w:sz w:val="28"/>
          <w:szCs w:val="28"/>
        </w:rPr>
      </w:pPr>
      <w:r>
        <w:rPr>
          <w:rFonts w:hint="eastAsia"/>
          <w:sz w:val="28"/>
          <w:szCs w:val="28"/>
        </w:rPr>
        <w:t>2．本记录表包括生产场所（21分）、设备设施（33分）、设备布局和工艺流程（9分）、人员管理（6分）、管理制度（24分）、产品标签（3分）以及试制产品检验合格报告（4分）等七部分，共33个核查项目。</w:t>
      </w:r>
    </w:p>
    <w:p>
      <w:pPr>
        <w:overflowPunct w:val="0"/>
        <w:adjustRightInd w:val="0"/>
        <w:snapToGrid w:val="0"/>
        <w:spacing w:line="336" w:lineRule="auto"/>
        <w:ind w:firstLine="567"/>
        <w:rPr>
          <w:sz w:val="28"/>
          <w:szCs w:val="28"/>
        </w:rPr>
      </w:pPr>
      <w:r>
        <w:rPr>
          <w:rFonts w:hint="eastAsia"/>
          <w:sz w:val="28"/>
          <w:szCs w:val="28"/>
        </w:rPr>
        <w:t>3．核查组应当按照核查项目规定的“核查内容”“评分标准”进行核查与评分，并将发现的问题具体详实地记录在“核查记录”栏目中。</w:t>
      </w:r>
    </w:p>
    <w:p>
      <w:pPr>
        <w:tabs>
          <w:tab w:val="left" w:pos="945"/>
        </w:tabs>
        <w:overflowPunct w:val="0"/>
        <w:adjustRightInd w:val="0"/>
        <w:snapToGrid w:val="0"/>
        <w:spacing w:line="336" w:lineRule="auto"/>
        <w:ind w:firstLine="567"/>
        <w:rPr>
          <w:sz w:val="28"/>
          <w:szCs w:val="28"/>
        </w:rPr>
      </w:pPr>
      <w:r>
        <w:rPr>
          <w:rFonts w:hint="eastAsia"/>
          <w:sz w:val="28"/>
          <w:szCs w:val="28"/>
        </w:rPr>
        <w:t>4．现场核查结论判定原则：</w:t>
      </w:r>
    </w:p>
    <w:p>
      <w:pPr>
        <w:overflowPunct w:val="0"/>
        <w:adjustRightInd w:val="0"/>
        <w:snapToGrid w:val="0"/>
        <w:spacing w:line="336" w:lineRule="auto"/>
        <w:ind w:firstLine="567"/>
        <w:rPr>
          <w:sz w:val="28"/>
          <w:szCs w:val="28"/>
        </w:rPr>
      </w:pPr>
      <w:r>
        <w:rPr>
          <w:rFonts w:hint="eastAsia"/>
          <w:sz w:val="28"/>
          <w:szCs w:val="28"/>
        </w:rPr>
        <w:t>核查项目单项得分无0分且总得分率≥85％的，该食品类别及品种明细判定为通过现场核查。</w:t>
      </w:r>
    </w:p>
    <w:p>
      <w:pPr>
        <w:overflowPunct w:val="0"/>
        <w:adjustRightInd w:val="0"/>
        <w:snapToGrid w:val="0"/>
        <w:spacing w:line="336" w:lineRule="auto"/>
        <w:ind w:firstLine="567"/>
        <w:rPr>
          <w:sz w:val="28"/>
          <w:szCs w:val="28"/>
        </w:rPr>
      </w:pPr>
      <w:r>
        <w:rPr>
          <w:rFonts w:hint="eastAsia"/>
          <w:sz w:val="28"/>
          <w:szCs w:val="28"/>
        </w:rPr>
        <w:t>当出现以下两种情况之一时，该食品品种判定为未通过现场核查：</w:t>
      </w:r>
    </w:p>
    <w:p>
      <w:pPr>
        <w:overflowPunct w:val="0"/>
        <w:adjustRightInd w:val="0"/>
        <w:snapToGrid w:val="0"/>
        <w:spacing w:line="336" w:lineRule="auto"/>
        <w:ind w:firstLine="567"/>
        <w:rPr>
          <w:sz w:val="28"/>
          <w:szCs w:val="28"/>
        </w:rPr>
      </w:pPr>
      <w:r>
        <w:rPr>
          <w:rFonts w:hint="eastAsia"/>
          <w:sz w:val="28"/>
          <w:szCs w:val="28"/>
        </w:rPr>
        <w:t>（1）有一项及以上核查项目得0分的；</w:t>
      </w:r>
    </w:p>
    <w:p>
      <w:pPr>
        <w:overflowPunct w:val="0"/>
        <w:adjustRightInd w:val="0"/>
        <w:snapToGrid w:val="0"/>
        <w:spacing w:line="336" w:lineRule="auto"/>
        <w:ind w:firstLine="567"/>
        <w:rPr>
          <w:sz w:val="28"/>
          <w:szCs w:val="28"/>
        </w:rPr>
      </w:pPr>
      <w:r>
        <w:rPr>
          <w:rFonts w:hint="eastAsia"/>
          <w:sz w:val="28"/>
          <w:szCs w:val="28"/>
        </w:rPr>
        <w:t>（2）核查项目总得分率＜85％的。</w:t>
      </w:r>
    </w:p>
    <w:p>
      <w:pPr>
        <w:overflowPunct w:val="0"/>
        <w:adjustRightInd w:val="0"/>
        <w:snapToGrid w:val="0"/>
        <w:spacing w:line="336" w:lineRule="auto"/>
        <w:ind w:firstLine="567"/>
        <w:rPr>
          <w:sz w:val="28"/>
          <w:szCs w:val="28"/>
        </w:rPr>
      </w:pPr>
      <w:r>
        <w:rPr>
          <w:rFonts w:hint="eastAsia"/>
          <w:sz w:val="28"/>
          <w:szCs w:val="28"/>
        </w:rPr>
        <w:t>5．当某个核查项目不适用时，不参与评分，并在“核查记录”栏目中说明不适用的原因。</w:t>
      </w:r>
    </w:p>
    <w:p>
      <w:pPr>
        <w:overflowPunct w:val="0"/>
        <w:adjustRightInd w:val="0"/>
        <w:snapToGrid w:val="0"/>
        <w:spacing w:line="336" w:lineRule="auto"/>
        <w:ind w:firstLine="567"/>
        <w:rPr>
          <w:sz w:val="28"/>
          <w:szCs w:val="28"/>
        </w:rPr>
      </w:pPr>
    </w:p>
    <w:p>
      <w:pPr>
        <w:overflowPunct w:val="0"/>
        <w:adjustRightInd w:val="0"/>
        <w:snapToGrid w:val="0"/>
        <w:spacing w:line="336" w:lineRule="auto"/>
        <w:ind w:firstLine="567"/>
        <w:rPr>
          <w:sz w:val="28"/>
          <w:szCs w:val="28"/>
        </w:rPr>
      </w:pPr>
    </w:p>
    <w:p>
      <w:pPr>
        <w:adjustRightInd w:val="0"/>
        <w:snapToGrid w:val="0"/>
        <w:spacing w:line="336" w:lineRule="auto"/>
        <w:jc w:val="center"/>
        <w:outlineLvl w:val="0"/>
        <w:rPr>
          <w:rFonts w:ascii="黑体" w:hAnsi="黑体" w:eastAsia="黑体" w:cs="黑体"/>
          <w:szCs w:val="30"/>
        </w:rPr>
      </w:pPr>
      <w:r>
        <w:rPr>
          <w:rFonts w:hint="eastAsia" w:ascii="黑体" w:hAnsi="黑体" w:eastAsia="黑体" w:cs="黑体"/>
          <w:szCs w:val="30"/>
        </w:rPr>
        <w:t>一、生产场所（共21分）</w:t>
      </w:r>
    </w:p>
    <w:tbl>
      <w:tblPr>
        <w:tblStyle w:val="4"/>
        <w:tblW w:w="12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07"/>
        <w:gridCol w:w="3969"/>
        <w:gridCol w:w="3969"/>
        <w:gridCol w:w="680"/>
        <w:gridCol w:w="73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90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项目</w:t>
            </w:r>
          </w:p>
        </w:tc>
        <w:tc>
          <w:tcPr>
            <w:tcW w:w="3968"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核查内容</w:t>
            </w:r>
          </w:p>
        </w:tc>
        <w:tc>
          <w:tcPr>
            <w:tcW w:w="3968" w:type="dxa"/>
            <w:gridSpan w:val="2"/>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评分标准</w:t>
            </w:r>
          </w:p>
        </w:tc>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得分</w:t>
            </w:r>
          </w:p>
        </w:tc>
        <w:tc>
          <w:tcPr>
            <w:tcW w:w="1814"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1.1</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厂区</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要求</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1．加工场所周围25米内不得有有害气体、烟尘、粉尘、放射性物质及其他扩散性污染源，如化工生产、矿业生产、屠宰场、饲养场、皮毛加工场、坑式厕所、垃圾场或垃圾处理站等，不得有昆虫大量孳生的潜在场所。</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有污染源防范措施，但个别防范措施效果不明显。</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无污染源防范措施，或者污染源防范措施无明显效果。</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2．厂区布局合理，各功能区划分明显。生活区与生产区保持适当距离或分隔，防止交叉污染。</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厂区布局基本合理，生活区与生产区相距较近或分隔不彻底。</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spacing w:val="-6"/>
                <w:kern w:val="0"/>
                <w:sz w:val="24"/>
                <w:szCs w:val="24"/>
              </w:rPr>
            </w:pPr>
            <w:r>
              <w:rPr>
                <w:rFonts w:hint="eastAsia" w:hAnsi="仿宋_GB2312" w:cs="仿宋_GB2312"/>
                <w:bCs/>
                <w:spacing w:val="-6"/>
                <w:kern w:val="0"/>
                <w:sz w:val="24"/>
                <w:szCs w:val="24"/>
              </w:rPr>
              <w:t>厂区布局不合理，或者生活区与生产区紧邻且未分隔，或者存在交叉污染。</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3．厂区道路应当采用硬质材料铺设，厂区无扬尘或积水现象。厂区绿化应当与生产车间保持适当距离，植被应当定期维护，防止虫害孳生。</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厂区环境略有不足。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厂区环境不符合规定要求。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1.2</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厂房</w:t>
            </w:r>
          </w:p>
          <w:p>
            <w:pPr>
              <w:widowControl/>
              <w:adjustRightInd w:val="0"/>
              <w:snapToGrid w:val="0"/>
              <w:ind w:left="-57" w:right="-57"/>
              <w:jc w:val="center"/>
              <w:rPr>
                <w:rFonts w:hAnsi="仿宋_GB2312" w:cs="仿宋_GB2312"/>
                <w:bCs/>
                <w:kern w:val="0"/>
                <w:sz w:val="24"/>
                <w:szCs w:val="24"/>
              </w:rPr>
            </w:pPr>
            <w:r>
              <w:rPr>
                <w:rFonts w:hint="eastAsia" w:hAnsi="仿宋_GB2312" w:cs="仿宋_GB2312"/>
                <w:bCs/>
                <w:kern w:val="0"/>
                <w:sz w:val="24"/>
                <w:szCs w:val="24"/>
              </w:rPr>
              <w:t>和车间</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1．应当具有与生产的产品品种、数量相适应的厂房和车间，并根据生产工艺及清洁程度的要求合理布局和划分作业区，避免交叉污染；厂房内设置的检验室应当与生产区域分隔。</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个别作业区布局和划分不太合理。</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厂房面积与空间不满足生产需求，或者各作业区布局和划分不合理，或者检验室未与生产区域分隔。</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2．车间保持清洁，顶棚、墙壁和地面应当采用无毒、无味、防渗透、防霉、不易破损脱落的材料建造，易于清洁；顶棚在结构上不利于冷凝水垂直滴落，裸露食品上方的管路应当有防止灰尘散落及水滴掉落的措施；门窗应当闭合严密，不透水、不变形，并有防止虫害侵入的措施。</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车间清洁程度以及顶棚、墙壁、地面和门窗或者相关防护措施略有不足。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严重不符合规定要求。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1.3</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库房</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要求</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1．库房整洁，地面平整，易于维护、清洁，防止虫害侵入和藏匿。必要时库房应当设置相适应的温度、湿度控制等设施。</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spacing w:val="-6"/>
                <w:kern w:val="0"/>
                <w:sz w:val="24"/>
                <w:szCs w:val="24"/>
              </w:rPr>
            </w:pPr>
            <w:r>
              <w:rPr>
                <w:rFonts w:hint="eastAsia" w:hAnsi="仿宋_GB2312" w:cs="仿宋_GB2312"/>
                <w:bCs/>
                <w:spacing w:val="-6"/>
                <w:kern w:val="0"/>
                <w:sz w:val="24"/>
                <w:szCs w:val="24"/>
              </w:rPr>
              <w:t>库房整洁程度或者相关设施略有不足。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严重不符合规定要求。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2．原辅料、半成品、成品等物料应当依据性质的不同分设库房或分区存放。清洁剂、消毒剂、杀虫剂、润滑剂、燃料等物料应当与原辅料、半成品、成品等物料分隔放置。库房内的物料应当与墙壁、地面保持适当距离，并明确标识，防止交叉污染。</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7" w:type="dxa"/>
            <w:vMerge w:val="continue"/>
            <w:tcBorders>
              <w:tl2br w:val="nil"/>
              <w:tr2bl w:val="nil"/>
            </w:tcBorders>
            <w:noWrap/>
            <w:vAlign w:val="center"/>
          </w:tcPr>
          <w:p>
            <w:pPr>
              <w:widowControl/>
              <w:jc w:val="center"/>
              <w:rPr>
                <w:rFonts w:hAnsi="仿宋_GB2312" w:cs="仿宋_GB2312"/>
                <w:kern w:val="0"/>
                <w:sz w:val="24"/>
                <w:szCs w:val="24"/>
              </w:rPr>
            </w:pPr>
          </w:p>
        </w:tc>
        <w:tc>
          <w:tcPr>
            <w:tcW w:w="907" w:type="dxa"/>
            <w:vMerge w:val="continue"/>
            <w:tcBorders>
              <w:tl2br w:val="nil"/>
              <w:tr2bl w:val="nil"/>
            </w:tcBorders>
            <w:noWrap/>
            <w:vAlign w:val="center"/>
          </w:tcPr>
          <w:p>
            <w:pPr>
              <w:widowControl/>
              <w:jc w:val="center"/>
              <w:rPr>
                <w:rFonts w:hAnsi="仿宋_GB2312" w:cs="仿宋_GB2312"/>
                <w:kern w:val="0"/>
                <w:sz w:val="24"/>
                <w:szCs w:val="24"/>
              </w:rPr>
            </w:pPr>
          </w:p>
        </w:tc>
        <w:tc>
          <w:tcPr>
            <w:tcW w:w="3968" w:type="dxa"/>
            <w:vMerge w:val="continue"/>
            <w:tcBorders>
              <w:tl2br w:val="nil"/>
              <w:tr2bl w:val="nil"/>
            </w:tcBorders>
            <w:noWrap/>
            <w:vAlign w:val="center"/>
          </w:tcPr>
          <w:p>
            <w:pPr>
              <w:widowControl/>
              <w:rPr>
                <w:rFonts w:hAnsi="仿宋_GB2312" w:cs="仿宋_GB2312"/>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物料存放或标识略有不足。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jc w:val="center"/>
              <w:rPr>
                <w:rFonts w:hAnsi="仿宋_GB2312" w:cs="仿宋_GB2312"/>
                <w:kern w:val="0"/>
                <w:sz w:val="24"/>
                <w:szCs w:val="24"/>
              </w:rPr>
            </w:pPr>
          </w:p>
        </w:tc>
        <w:tc>
          <w:tcPr>
            <w:tcW w:w="1814" w:type="dxa"/>
            <w:vMerge w:val="continue"/>
            <w:tcBorders>
              <w:tl2br w:val="nil"/>
              <w:tr2bl w:val="nil"/>
            </w:tcBorders>
            <w:noWrap/>
            <w:vAlign w:val="center"/>
          </w:tcPr>
          <w:p>
            <w:pPr>
              <w:widowControl/>
              <w:jc w:val="center"/>
              <w:rPr>
                <w:rFonts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7" w:type="dxa"/>
            <w:vMerge w:val="continue"/>
            <w:tcBorders>
              <w:tl2br w:val="nil"/>
              <w:tr2bl w:val="nil"/>
            </w:tcBorders>
            <w:noWrap/>
            <w:vAlign w:val="center"/>
          </w:tcPr>
          <w:p>
            <w:pPr>
              <w:widowControl/>
              <w:jc w:val="center"/>
              <w:rPr>
                <w:rFonts w:hAnsi="仿宋_GB2312" w:cs="仿宋_GB2312"/>
                <w:kern w:val="0"/>
                <w:sz w:val="24"/>
                <w:szCs w:val="24"/>
              </w:rPr>
            </w:pPr>
          </w:p>
        </w:tc>
        <w:tc>
          <w:tcPr>
            <w:tcW w:w="907" w:type="dxa"/>
            <w:vMerge w:val="continue"/>
            <w:tcBorders>
              <w:tl2br w:val="nil"/>
              <w:tr2bl w:val="nil"/>
            </w:tcBorders>
            <w:noWrap/>
            <w:vAlign w:val="center"/>
          </w:tcPr>
          <w:p>
            <w:pPr>
              <w:widowControl/>
              <w:jc w:val="center"/>
              <w:rPr>
                <w:rFonts w:hAnsi="仿宋_GB2312" w:cs="仿宋_GB2312"/>
                <w:kern w:val="0"/>
                <w:sz w:val="24"/>
                <w:szCs w:val="24"/>
              </w:rPr>
            </w:pPr>
          </w:p>
        </w:tc>
        <w:tc>
          <w:tcPr>
            <w:tcW w:w="3968" w:type="dxa"/>
            <w:vMerge w:val="continue"/>
            <w:tcBorders>
              <w:tl2br w:val="nil"/>
              <w:tr2bl w:val="nil"/>
            </w:tcBorders>
            <w:noWrap/>
            <w:vAlign w:val="center"/>
          </w:tcPr>
          <w:p>
            <w:pPr>
              <w:widowControl/>
              <w:rPr>
                <w:rFonts w:hAnsi="仿宋_GB2312" w:cs="仿宋_GB2312"/>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spacing w:val="-6"/>
                <w:kern w:val="0"/>
                <w:sz w:val="24"/>
                <w:szCs w:val="24"/>
              </w:rPr>
            </w:pPr>
            <w:r>
              <w:rPr>
                <w:rFonts w:hint="eastAsia" w:hAnsi="仿宋_GB2312" w:cs="仿宋_GB2312"/>
                <w:bCs/>
                <w:spacing w:val="-6"/>
                <w:kern w:val="0"/>
                <w:sz w:val="24"/>
                <w:szCs w:val="24"/>
              </w:rPr>
              <w:t>原辅料、半成品、成品等与清洁剂、消毒剂、杀虫剂、润滑剂、燃料等物料未分隔存放；物料无标识或标识混乱。</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jc w:val="center"/>
              <w:rPr>
                <w:rFonts w:hAnsi="仿宋_GB2312" w:cs="仿宋_GB2312"/>
                <w:kern w:val="0"/>
                <w:sz w:val="24"/>
                <w:szCs w:val="24"/>
              </w:rPr>
            </w:pPr>
          </w:p>
        </w:tc>
        <w:tc>
          <w:tcPr>
            <w:tcW w:w="1814" w:type="dxa"/>
            <w:vMerge w:val="continue"/>
            <w:tcBorders>
              <w:tl2br w:val="nil"/>
              <w:tr2bl w:val="nil"/>
            </w:tcBorders>
            <w:noWrap/>
            <w:vAlign w:val="center"/>
          </w:tcPr>
          <w:p>
            <w:pPr>
              <w:widowControl/>
              <w:jc w:val="center"/>
              <w:rPr>
                <w:rFonts w:hAnsi="仿宋_GB2312" w:cs="仿宋_GB2312"/>
                <w:kern w:val="0"/>
                <w:sz w:val="24"/>
                <w:szCs w:val="24"/>
              </w:rPr>
            </w:pPr>
          </w:p>
        </w:tc>
      </w:tr>
    </w:tbl>
    <w:p>
      <w:pPr>
        <w:adjustRightInd w:val="0"/>
        <w:snapToGrid w:val="0"/>
        <w:spacing w:line="336" w:lineRule="auto"/>
        <w:jc w:val="center"/>
        <w:outlineLvl w:val="0"/>
        <w:rPr>
          <w:rFonts w:ascii="黑体" w:hAnsi="黑体" w:eastAsia="黑体" w:cs="黑体"/>
          <w:szCs w:val="30"/>
        </w:rPr>
      </w:pPr>
      <w:r>
        <w:rPr>
          <w:rFonts w:hint="eastAsia" w:ascii="黑体" w:hAnsi="黑体" w:eastAsia="黑体" w:cs="黑体"/>
          <w:szCs w:val="30"/>
        </w:rPr>
        <w:t>二、设备设施（共33分）</w:t>
      </w:r>
    </w:p>
    <w:tbl>
      <w:tblPr>
        <w:tblStyle w:val="4"/>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09"/>
        <w:gridCol w:w="3973"/>
        <w:gridCol w:w="3955"/>
        <w:gridCol w:w="681"/>
        <w:gridCol w:w="738"/>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40"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911"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项目</w:t>
            </w:r>
          </w:p>
        </w:tc>
        <w:tc>
          <w:tcPr>
            <w:tcW w:w="3986"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核查内容</w:t>
            </w:r>
          </w:p>
        </w:tc>
        <w:tc>
          <w:tcPr>
            <w:tcW w:w="3968" w:type="dxa"/>
            <w:gridSpan w:val="2"/>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评分标准</w:t>
            </w:r>
          </w:p>
        </w:tc>
        <w:tc>
          <w:tcPr>
            <w:tcW w:w="740"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得分</w:t>
            </w:r>
          </w:p>
        </w:tc>
        <w:tc>
          <w:tcPr>
            <w:tcW w:w="1823"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2.1</w:t>
            </w:r>
          </w:p>
        </w:tc>
        <w:tc>
          <w:tcPr>
            <w:tcW w:w="911"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生产</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设备</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1</w:t>
            </w:r>
            <w:r>
              <w:rPr>
                <w:rFonts w:hAnsi="仿宋_GB2312" w:cs="仿宋_GB2312"/>
                <w:bCs/>
                <w:kern w:val="0"/>
                <w:sz w:val="24"/>
                <w:szCs w:val="24"/>
              </w:rPr>
              <w:t>．</w:t>
            </w:r>
            <w:r>
              <w:rPr>
                <w:rFonts w:hint="eastAsia" w:hAnsi="仿宋_GB2312" w:cs="仿宋_GB2312"/>
                <w:bCs/>
                <w:kern w:val="0"/>
                <w:sz w:val="24"/>
                <w:szCs w:val="24"/>
              </w:rPr>
              <w:t>应当配备与生产的产品品种、数量相适应的生产设备，设备的性能和精度应当满足生产加工的要求。</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个别设备的性能和精度略有不足。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生产设备不满足生产加工要求。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2</w:t>
            </w:r>
            <w:r>
              <w:rPr>
                <w:rFonts w:hAnsi="仿宋_GB2312" w:cs="仿宋_GB2312"/>
                <w:bCs/>
                <w:kern w:val="0"/>
                <w:sz w:val="24"/>
                <w:szCs w:val="24"/>
              </w:rPr>
              <w:t>．</w:t>
            </w:r>
            <w:r>
              <w:rPr>
                <w:rFonts w:hint="eastAsia" w:hAnsi="仿宋_GB2312" w:cs="仿宋_GB2312"/>
                <w:bCs/>
                <w:kern w:val="0"/>
                <w:sz w:val="24"/>
                <w:szCs w:val="24"/>
              </w:rPr>
              <w:t>生产设备清洁卫生，直接接触食品的设备、工器具材质应当无毒、无味、抗腐蚀、不易脱落，表面光滑、无吸收性，易于清洁保养和消毒。</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设备清洁卫生程度或者设备材质略有不足。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严重不符合规定要求。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2.2</w:t>
            </w:r>
          </w:p>
        </w:tc>
        <w:tc>
          <w:tcPr>
            <w:tcW w:w="911" w:type="dxa"/>
            <w:vMerge w:val="restart"/>
            <w:tcBorders>
              <w:tl2br w:val="nil"/>
              <w:tr2bl w:val="nil"/>
            </w:tcBorders>
            <w:noWrap/>
            <w:vAlign w:val="center"/>
          </w:tcPr>
          <w:p>
            <w:pPr>
              <w:widowControl/>
              <w:adjustRightInd w:val="0"/>
              <w:snapToGrid w:val="0"/>
              <w:ind w:left="-57" w:right="-57"/>
              <w:jc w:val="center"/>
              <w:rPr>
                <w:rFonts w:hAnsi="仿宋_GB2312" w:cs="仿宋_GB2312"/>
                <w:bCs/>
                <w:kern w:val="0"/>
                <w:sz w:val="24"/>
                <w:szCs w:val="24"/>
              </w:rPr>
            </w:pPr>
            <w:r>
              <w:rPr>
                <w:rFonts w:hint="eastAsia" w:hAnsi="仿宋_GB2312" w:cs="仿宋_GB2312"/>
                <w:bCs/>
                <w:kern w:val="0"/>
                <w:sz w:val="24"/>
                <w:szCs w:val="24"/>
              </w:rPr>
              <w:t>供排水</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1</w:t>
            </w:r>
            <w:r>
              <w:rPr>
                <w:rFonts w:hAnsi="仿宋_GB2312" w:cs="仿宋_GB2312"/>
                <w:bCs/>
                <w:kern w:val="0"/>
                <w:sz w:val="24"/>
                <w:szCs w:val="24"/>
              </w:rPr>
              <w:t>．</w:t>
            </w:r>
            <w:r>
              <w:rPr>
                <w:rFonts w:hint="eastAsia" w:hAnsi="仿宋_GB2312" w:cs="仿宋_GB2312"/>
                <w:bCs/>
                <w:kern w:val="0"/>
                <w:sz w:val="24"/>
                <w:szCs w:val="24"/>
              </w:rPr>
              <w:t>食品加工用水的水质应当符合GB 5749的规定，有特殊要求的应当符合相应规定。食品加工用水与其他不与食品接触的用水应当以完全分离的管路输送，避免交叉污染，各管路系统应当明确标识以便区分。</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供水管路标识略有不足。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食品加工用水的水质不符合规定要求，或者供水管路无标识或标识混乱，或者供水管路存在交叉污染。</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2</w:t>
            </w:r>
            <w:r>
              <w:rPr>
                <w:rFonts w:hAnsi="仿宋_GB2312" w:cs="仿宋_GB2312"/>
                <w:bCs/>
                <w:kern w:val="0"/>
                <w:sz w:val="24"/>
                <w:szCs w:val="24"/>
              </w:rPr>
              <w:t>．</w:t>
            </w:r>
            <w:r>
              <w:rPr>
                <w:rFonts w:hint="eastAsia" w:hAnsi="仿宋_GB2312" w:cs="仿宋_GB2312"/>
                <w:bCs/>
                <w:kern w:val="0"/>
                <w:sz w:val="24"/>
                <w:szCs w:val="24"/>
              </w:rPr>
              <w:t>室内排水应当由清洁程度高的区域流向清洁程度低的区域，且有防止逆流的措施。排水系统出入口设计合理并有防止污染和虫害侵入的措施。</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相关防护措施略有不足。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室内排水流向不符合要求，或者相关防护措施严重不足。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2.3</w:t>
            </w:r>
          </w:p>
        </w:tc>
        <w:tc>
          <w:tcPr>
            <w:tcW w:w="911"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清洁</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消毒</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应当配备相应的食品、工器具和设备的清洁设施，必要时配备相应的消毒设施。清洁、消毒方式应当避免对食品造成交叉污染，使用的洗涤剂、消毒剂应当符合相关规定要求。</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清洁消毒设施略有不足。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清洁消毒设施严重不足，或者清洁消毒的方式、用品不符合规定要求。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2.4</w:t>
            </w:r>
          </w:p>
        </w:tc>
        <w:tc>
          <w:tcPr>
            <w:tcW w:w="911" w:type="dxa"/>
            <w:vMerge w:val="restart"/>
            <w:tcBorders>
              <w:tl2br w:val="nil"/>
              <w:tr2bl w:val="nil"/>
            </w:tcBorders>
            <w:noWrap/>
            <w:vAlign w:val="center"/>
          </w:tcPr>
          <w:p>
            <w:pPr>
              <w:widowControl/>
              <w:adjustRightInd w:val="0"/>
              <w:snapToGrid w:val="0"/>
              <w:ind w:left="-57" w:right="-57"/>
              <w:jc w:val="center"/>
              <w:rPr>
                <w:rFonts w:hAnsi="仿宋_GB2312" w:cs="仿宋_GB2312"/>
                <w:bCs/>
                <w:kern w:val="0"/>
                <w:sz w:val="24"/>
                <w:szCs w:val="24"/>
              </w:rPr>
            </w:pPr>
            <w:r>
              <w:rPr>
                <w:rFonts w:hint="eastAsia" w:hAnsi="仿宋_GB2312" w:cs="仿宋_GB2312"/>
                <w:bCs/>
                <w:kern w:val="0"/>
                <w:sz w:val="24"/>
                <w:szCs w:val="24"/>
              </w:rPr>
              <w:t>废弃物</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存放</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应当配备设计合理、防止渗漏、易于清洁的存放废弃物的专用设施。车间内存放废弃物的设施和容器应当标识清晰，不得与盛装原辅料、半成品、成品的容器混用。废弃物容器应配有</w:t>
            </w:r>
          </w:p>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盖子或可封闭，防止污染食品。</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废弃物存放设施及标识略有不足。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废弃物存放设施设计不合理，或者与盛装原辅料、半成品、成品的容器混用。</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2.5</w:t>
            </w:r>
          </w:p>
        </w:tc>
        <w:tc>
          <w:tcPr>
            <w:tcW w:w="911"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个人</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卫生</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生产场所或车间入口处应当设置更衣室，更衣室应当保证工作服与个人服装及其他物品分开放置；车间入口及车间内必要处，应当按需设置换鞋（穿戴鞋套）设施或鞋靴消毒设施；清洁作业区入口应当设置与生产加工人员数量相匹配的非手动式洗手、干手和消毒设施。卫生间不得与生产、包装或贮存等区域直接连通。</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个人卫生设施略有不足。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个人卫生设施严重不符合规范要求，或者卫生间与生产、包装、贮存等区域直接连通。</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2.6</w:t>
            </w:r>
          </w:p>
        </w:tc>
        <w:tc>
          <w:tcPr>
            <w:tcW w:w="911"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通风</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配备适宜的通风、排气设施，避免空气从清洁程度要求低的作业区域流向清洁程度要求高的作业区域；合理设置进气口位置，必要时应当安装空气过滤净化或除尘设施。通风设施应当易于清洁、维修或更换，并能防止虫害侵入。</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通风设施略有不足。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通风设施严重不足，或者不能满足必要的空气过滤净化、除尘、防止虫害侵入的需求。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2.7</w:t>
            </w:r>
          </w:p>
        </w:tc>
        <w:tc>
          <w:tcPr>
            <w:tcW w:w="911"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照明</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厂房内应当有充足的自然采光或人工照明，光泽和亮度应能满足生产和操作需要，光源应能使物料呈现真实的颜色。在暴露食品和原辅料正上方的照明设施应当使用安全型或有防护措施的照明设施；如需要，还应当配备应急照明设施。</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照明设施或者防护措施略有不足。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照明设施或者防护措施严重不足。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2.8</w:t>
            </w:r>
          </w:p>
        </w:tc>
        <w:tc>
          <w:tcPr>
            <w:tcW w:w="911"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温控</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应当根据生产的需要，配备适宜的加热、冷却、冷冻以及用于监测温度和控制室温的设施。</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温控设施略有不足。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温控设施严重不足。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2.9</w:t>
            </w:r>
          </w:p>
        </w:tc>
        <w:tc>
          <w:tcPr>
            <w:tcW w:w="911"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检验</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设备</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设施</w:t>
            </w:r>
          </w:p>
        </w:tc>
        <w:tc>
          <w:tcPr>
            <w:tcW w:w="3986"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自行检验的，应当具备与所检项目相适应的检验室和检验设备。</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40"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检验设备性能略有不足。</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11"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86"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检验设备数量、性能、精度不能满足检验需求。</w:t>
            </w:r>
          </w:p>
        </w:tc>
        <w:tc>
          <w:tcPr>
            <w:tcW w:w="683"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40"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23"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bl>
    <w:p>
      <w:pPr>
        <w:adjustRightInd w:val="0"/>
        <w:snapToGrid w:val="0"/>
        <w:spacing w:line="336" w:lineRule="auto"/>
        <w:jc w:val="center"/>
        <w:outlineLvl w:val="0"/>
        <w:rPr>
          <w:rFonts w:ascii="黑体" w:hAnsi="黑体" w:eastAsia="黑体" w:cs="黑体"/>
          <w:szCs w:val="30"/>
        </w:rPr>
      </w:pPr>
      <w:r>
        <w:rPr>
          <w:rFonts w:hint="eastAsia" w:ascii="黑体" w:hAnsi="黑体" w:eastAsia="黑体" w:cs="黑体"/>
          <w:szCs w:val="30"/>
        </w:rPr>
        <w:t>三、设备布局和工艺流程（共9分）</w:t>
      </w:r>
    </w:p>
    <w:tbl>
      <w:tblPr>
        <w:tblStyle w:val="4"/>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07"/>
        <w:gridCol w:w="3968"/>
        <w:gridCol w:w="3968"/>
        <w:gridCol w:w="680"/>
        <w:gridCol w:w="73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90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项目</w:t>
            </w:r>
          </w:p>
        </w:tc>
        <w:tc>
          <w:tcPr>
            <w:tcW w:w="3968"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核查内容</w:t>
            </w:r>
          </w:p>
        </w:tc>
        <w:tc>
          <w:tcPr>
            <w:tcW w:w="3968" w:type="dxa"/>
            <w:gridSpan w:val="2"/>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评分标准</w:t>
            </w:r>
          </w:p>
        </w:tc>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得分</w:t>
            </w:r>
          </w:p>
        </w:tc>
        <w:tc>
          <w:tcPr>
            <w:tcW w:w="1814"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3.1</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设备</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布局</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生产设备应当按照工艺流程有序排列，合理布局，便于清洁、消毒和维护，避免交叉污染。</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个别设备布局不合理。</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设备布局存在交叉污染。</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3.2</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工艺</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流程</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1</w:t>
            </w:r>
            <w:r>
              <w:rPr>
                <w:rFonts w:hAnsi="仿宋_GB2312" w:cs="仿宋_GB2312"/>
                <w:bCs/>
                <w:kern w:val="0"/>
                <w:sz w:val="24"/>
                <w:szCs w:val="24"/>
              </w:rPr>
              <w:t>．</w:t>
            </w:r>
            <w:r>
              <w:rPr>
                <w:rFonts w:hint="eastAsia" w:hAnsi="仿宋_GB2312" w:cs="仿宋_GB2312"/>
                <w:bCs/>
                <w:kern w:val="0"/>
                <w:sz w:val="24"/>
                <w:szCs w:val="24"/>
              </w:rPr>
              <w:t>应当具备合理的生产工艺流程，防止生产过程中造成交叉污染。工艺流程应当与产品执行标准相适应。执行企业标准的，应当依法备案。</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个别工艺流程略有交叉，或者略不符合产品执行标准的规定。</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工艺流程存在交叉污染，或者不符合产品执行标准的规定，或者企业标准未依法备案。</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2</w:t>
            </w:r>
            <w:r>
              <w:rPr>
                <w:rFonts w:hAnsi="仿宋_GB2312" w:cs="仿宋_GB2312"/>
                <w:bCs/>
                <w:kern w:val="0"/>
                <w:sz w:val="24"/>
                <w:szCs w:val="24"/>
              </w:rPr>
              <w:t>．</w:t>
            </w:r>
            <w:r>
              <w:rPr>
                <w:rFonts w:hint="eastAsia" w:hAnsi="仿宋_GB2312" w:cs="仿宋_GB2312"/>
                <w:bCs/>
                <w:kern w:val="0"/>
                <w:sz w:val="24"/>
                <w:szCs w:val="24"/>
              </w:rPr>
              <w:t>应当制定所需的产品配方、工艺规程、作业指导书等工艺文件，明确生产过程中的食品安全关键环节。</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工艺文件略有不足。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工艺文件严重不足。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bl>
    <w:p>
      <w:pPr>
        <w:adjustRightInd w:val="0"/>
        <w:snapToGrid w:val="0"/>
        <w:spacing w:line="336" w:lineRule="auto"/>
        <w:jc w:val="center"/>
        <w:outlineLvl w:val="0"/>
        <w:rPr>
          <w:rFonts w:ascii="黑体" w:hAnsi="黑体" w:eastAsia="黑体" w:cs="黑体"/>
          <w:szCs w:val="30"/>
        </w:rPr>
      </w:pPr>
      <w:r>
        <w:rPr>
          <w:rFonts w:hint="eastAsia" w:ascii="黑体" w:hAnsi="黑体" w:eastAsia="黑体" w:cs="黑体"/>
          <w:szCs w:val="30"/>
        </w:rPr>
        <w:t>四、人员管理（共6分）</w:t>
      </w:r>
    </w:p>
    <w:tbl>
      <w:tblPr>
        <w:tblStyle w:val="4"/>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07"/>
        <w:gridCol w:w="3968"/>
        <w:gridCol w:w="3968"/>
        <w:gridCol w:w="680"/>
        <w:gridCol w:w="73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90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项目</w:t>
            </w:r>
          </w:p>
        </w:tc>
        <w:tc>
          <w:tcPr>
            <w:tcW w:w="3968"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核查内容</w:t>
            </w:r>
          </w:p>
        </w:tc>
        <w:tc>
          <w:tcPr>
            <w:tcW w:w="680" w:type="dxa"/>
            <w:gridSpan w:val="2"/>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评分标准</w:t>
            </w:r>
          </w:p>
        </w:tc>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得分</w:t>
            </w:r>
          </w:p>
        </w:tc>
        <w:tc>
          <w:tcPr>
            <w:tcW w:w="1814"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4.1</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人员</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培训</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应当制定职工培训计划，开展食品安全知识及卫生培训。</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培训计划及计划执行略有不足。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无培训计划，或者已上岗的相关人员未经培训或考核不合格。</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4.2</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人员</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健康</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管理</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建立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制度内容略有缺陷，或者个别人员未能提供健康证明。</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无制度，或者人员健康管理严重不足。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bl>
    <w:p>
      <w:pPr>
        <w:adjustRightInd w:val="0"/>
        <w:snapToGrid w:val="0"/>
        <w:spacing w:line="336" w:lineRule="auto"/>
        <w:jc w:val="center"/>
        <w:outlineLvl w:val="0"/>
        <w:rPr>
          <w:rFonts w:ascii="黑体" w:hAnsi="黑体" w:eastAsia="黑体" w:cs="黑体"/>
          <w:szCs w:val="30"/>
        </w:rPr>
      </w:pPr>
      <w:r>
        <w:rPr>
          <w:rFonts w:hint="eastAsia" w:ascii="黑体" w:hAnsi="黑体" w:eastAsia="黑体" w:cs="黑体"/>
          <w:szCs w:val="30"/>
        </w:rPr>
        <w:t>五、管理制度（共24分）</w:t>
      </w:r>
    </w:p>
    <w:tbl>
      <w:tblPr>
        <w:tblStyle w:val="4"/>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07"/>
        <w:gridCol w:w="3968"/>
        <w:gridCol w:w="3968"/>
        <w:gridCol w:w="680"/>
        <w:gridCol w:w="73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90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项目</w:t>
            </w:r>
          </w:p>
        </w:tc>
        <w:tc>
          <w:tcPr>
            <w:tcW w:w="3968"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核查内容</w:t>
            </w:r>
          </w:p>
        </w:tc>
        <w:tc>
          <w:tcPr>
            <w:tcW w:w="3968" w:type="dxa"/>
            <w:gridSpan w:val="2"/>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评分标准</w:t>
            </w:r>
          </w:p>
        </w:tc>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得分</w:t>
            </w:r>
          </w:p>
        </w:tc>
        <w:tc>
          <w:tcPr>
            <w:tcW w:w="1814"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5.1</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进货</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查验</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记录</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应当建立进货查验记录制度，如实记录购进食品原料、食品添加剂、食品相关产品的名称、规格、数量、生产批号、生产日期、保质期、供货者名称及联系方式、进货日期等内容。</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制度内容略有不足。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无制度，或者制度内容严重不足。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5.2</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生产</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过程</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控制</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应当建立生产过程控制制度，明确原料控制（如领料、投料等）、生产关键环节控制（如生产工序、设备管理、贮存、包装等）、运输和交付控制的相关要求。</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个别制度内容略有不足。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无制度，或者制度内容严重不足。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5.3</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出厂</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检验</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记录</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建立出厂检验记录制度，并规定食品出厂时，应当查验出厂食品的检验合格证和安全状况，记录食品的名称、规格、数量、生产日期或者生产批号、保质期、检验合格证号、销售日期以及购货者名称、地址、联系方式等信息，保存相关记录和凭证。</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制度内容略有不足。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无制度，或者制度内容严重不足。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5.4</w:t>
            </w:r>
          </w:p>
        </w:tc>
        <w:tc>
          <w:tcPr>
            <w:tcW w:w="907" w:type="dxa"/>
            <w:vMerge w:val="restart"/>
            <w:tcBorders>
              <w:tl2br w:val="nil"/>
              <w:tr2bl w:val="nil"/>
            </w:tcBorders>
            <w:noWrap/>
            <w:vAlign w:val="center"/>
          </w:tcPr>
          <w:p>
            <w:pPr>
              <w:widowControl/>
              <w:adjustRightInd w:val="0"/>
              <w:snapToGrid w:val="0"/>
              <w:ind w:left="-57" w:right="-57"/>
              <w:jc w:val="center"/>
              <w:rPr>
                <w:rFonts w:hAnsi="仿宋_GB2312" w:cs="仿宋_GB2312"/>
                <w:bCs/>
                <w:kern w:val="0"/>
                <w:sz w:val="24"/>
                <w:szCs w:val="24"/>
              </w:rPr>
            </w:pPr>
            <w:r>
              <w:rPr>
                <w:rFonts w:hint="eastAsia" w:hAnsi="仿宋_GB2312" w:cs="仿宋_GB2312"/>
                <w:bCs/>
                <w:kern w:val="0"/>
                <w:sz w:val="24"/>
                <w:szCs w:val="24"/>
              </w:rPr>
              <w:t>不安全</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食品</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召回</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及</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不合</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格品</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管理</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1</w:t>
            </w:r>
            <w:r>
              <w:rPr>
                <w:rFonts w:hAnsi="仿宋_GB2312" w:cs="仿宋_GB2312"/>
                <w:bCs/>
                <w:kern w:val="0"/>
                <w:sz w:val="24"/>
                <w:szCs w:val="24"/>
              </w:rPr>
              <w:t>．</w:t>
            </w:r>
            <w:r>
              <w:rPr>
                <w:rFonts w:hint="eastAsia" w:hAnsi="仿宋_GB2312" w:cs="仿宋_GB2312"/>
                <w:bCs/>
                <w:kern w:val="0"/>
                <w:sz w:val="24"/>
                <w:szCs w:val="24"/>
              </w:rPr>
              <w:t>应当建立不安全食品召回制度，并规定停止生产、召回和处置不安全食品的相关要求，记录召回和通知情况。</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制度内容略有不足。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无制度，或者制度内容严重不足。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2</w:t>
            </w:r>
            <w:r>
              <w:rPr>
                <w:rFonts w:hAnsi="仿宋_GB2312" w:cs="仿宋_GB2312"/>
                <w:bCs/>
                <w:kern w:val="0"/>
                <w:sz w:val="24"/>
                <w:szCs w:val="24"/>
              </w:rPr>
              <w:t>．</w:t>
            </w:r>
            <w:r>
              <w:rPr>
                <w:rFonts w:hint="eastAsia" w:hAnsi="仿宋_GB2312" w:cs="仿宋_GB2312"/>
                <w:bCs/>
                <w:kern w:val="0"/>
                <w:sz w:val="24"/>
                <w:szCs w:val="24"/>
              </w:rPr>
              <w:t>应当规定生产过程中发现的原辅料、半成品、成品中不合格品的管理要求和处置措施。</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管理要求和处置措施略有不足。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无相关规定，或者管理要求和处置措施严重不足。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5.5</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食品</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安全</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自查</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应当建立食品安全自查要求，根据自查采取相应的处理措施。</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要求内容略有不足。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无要求，或者要求内容严重不足。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5.6</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食品</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安全</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事故</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处置</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方案</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应当建立食品安全事故处置方案，并规定食品安全事故处置措施及向相关食品安全监管部门和卫生行政部门报告的要求。</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方案内容略有不足。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无方案，或者方案内容严重不足。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5.7</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其他</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制度</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应当按照相关法律法规、食品安全标准规定，建立其他保障食品安全的管理制度。</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个别制度内容略有不足。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无制度，或者制度内容严重不足。</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bl>
    <w:p>
      <w:pPr>
        <w:adjustRightInd w:val="0"/>
        <w:snapToGrid w:val="0"/>
        <w:spacing w:line="336" w:lineRule="auto"/>
        <w:jc w:val="center"/>
        <w:outlineLvl w:val="0"/>
        <w:rPr>
          <w:rFonts w:ascii="黑体" w:hAnsi="黑体" w:eastAsia="黑体" w:cs="黑体"/>
          <w:szCs w:val="30"/>
        </w:rPr>
      </w:pPr>
      <w:r>
        <w:rPr>
          <w:rFonts w:hint="eastAsia" w:ascii="黑体" w:hAnsi="黑体" w:eastAsia="黑体" w:cs="黑体"/>
          <w:szCs w:val="30"/>
        </w:rPr>
        <w:t>六、产品标签（共3分）</w:t>
      </w:r>
    </w:p>
    <w:tbl>
      <w:tblPr>
        <w:tblStyle w:val="4"/>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07"/>
        <w:gridCol w:w="3968"/>
        <w:gridCol w:w="3968"/>
        <w:gridCol w:w="680"/>
        <w:gridCol w:w="73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90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项目</w:t>
            </w:r>
          </w:p>
        </w:tc>
        <w:tc>
          <w:tcPr>
            <w:tcW w:w="3968"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核查内容</w:t>
            </w:r>
          </w:p>
        </w:tc>
        <w:tc>
          <w:tcPr>
            <w:tcW w:w="3968" w:type="dxa"/>
            <w:gridSpan w:val="2"/>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评分标准</w:t>
            </w:r>
          </w:p>
        </w:tc>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得分</w:t>
            </w:r>
          </w:p>
        </w:tc>
        <w:tc>
          <w:tcPr>
            <w:tcW w:w="1814"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6.1</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产品</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标签</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应当对生产加工的食品进行包装，并在包装上贴注标签，正确标明食品的名称、生产日期、保质期、贮存条件；</w:t>
            </w:r>
          </w:p>
          <w:p>
            <w:pPr>
              <w:widowControl/>
              <w:adjustRightInd w:val="0"/>
              <w:snapToGrid w:val="0"/>
              <w:rPr>
                <w:rFonts w:hAnsi="仿宋_GB2312" w:cs="仿宋_GB2312"/>
                <w:bCs/>
                <w:kern w:val="0"/>
                <w:sz w:val="24"/>
                <w:szCs w:val="24"/>
              </w:rPr>
            </w:pPr>
            <w:r>
              <w:rPr>
                <w:rFonts w:hint="eastAsia" w:hAnsi="仿宋_GB2312" w:cs="仿宋_GB2312"/>
                <w:bCs/>
                <w:kern w:val="0"/>
                <w:sz w:val="24"/>
                <w:szCs w:val="24"/>
              </w:rPr>
              <w:t>食品生产加工小作坊的名称、地址、联系方式；准许生产证编号；成分或者配料表，所使用的食品添加剂在国家标准中的通用名称。</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3</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标签标注的事项不完整。</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无标签，或者虚假标注相关内容。</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bl>
    <w:p>
      <w:pPr>
        <w:widowControl/>
        <w:adjustRightInd w:val="0"/>
        <w:snapToGrid w:val="0"/>
        <w:spacing w:line="336" w:lineRule="auto"/>
        <w:rPr>
          <w:rFonts w:hAnsi="仿宋_GB2312" w:cs="仿宋_GB2312"/>
          <w:bCs/>
          <w:kern w:val="0"/>
          <w:szCs w:val="32"/>
        </w:rPr>
      </w:pPr>
    </w:p>
    <w:p>
      <w:pPr>
        <w:adjustRightInd w:val="0"/>
        <w:snapToGrid w:val="0"/>
        <w:spacing w:line="336" w:lineRule="auto"/>
        <w:jc w:val="center"/>
        <w:outlineLvl w:val="0"/>
        <w:rPr>
          <w:rFonts w:ascii="黑体" w:hAnsi="黑体" w:eastAsia="黑体" w:cs="黑体"/>
          <w:szCs w:val="30"/>
        </w:rPr>
      </w:pPr>
      <w:r>
        <w:rPr>
          <w:rFonts w:hint="eastAsia" w:ascii="黑体" w:hAnsi="黑体" w:eastAsia="黑体" w:cs="黑体"/>
          <w:szCs w:val="30"/>
        </w:rPr>
        <w:t>七、试制产品检验合格报告（共4分）</w:t>
      </w:r>
    </w:p>
    <w:tbl>
      <w:tblPr>
        <w:tblStyle w:val="4"/>
        <w:tblW w:w="12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07"/>
        <w:gridCol w:w="3968"/>
        <w:gridCol w:w="3968"/>
        <w:gridCol w:w="680"/>
        <w:gridCol w:w="73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90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项目</w:t>
            </w:r>
          </w:p>
        </w:tc>
        <w:tc>
          <w:tcPr>
            <w:tcW w:w="3968"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核查内容</w:t>
            </w:r>
          </w:p>
        </w:tc>
        <w:tc>
          <w:tcPr>
            <w:tcW w:w="680" w:type="dxa"/>
            <w:gridSpan w:val="2"/>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评分标准</w:t>
            </w:r>
          </w:p>
        </w:tc>
        <w:tc>
          <w:tcPr>
            <w:tcW w:w="737"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w:t>
            </w:r>
          </w:p>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得分</w:t>
            </w:r>
          </w:p>
        </w:tc>
        <w:tc>
          <w:tcPr>
            <w:tcW w:w="1814" w:type="dxa"/>
            <w:tcBorders>
              <w:tl2br w:val="nil"/>
              <w:tr2bl w:val="nil"/>
            </w:tcBorders>
            <w:noWrap/>
            <w:vAlign w:val="center"/>
          </w:tcPr>
          <w:p>
            <w:pPr>
              <w:widowControl/>
              <w:adjustRightInd w:val="0"/>
              <w:snapToGrid w:val="0"/>
              <w:jc w:val="center"/>
              <w:rPr>
                <w:rFonts w:ascii="黑体" w:hAnsi="黑体" w:eastAsia="黑体" w:cs="黑体"/>
                <w:bCs/>
                <w:kern w:val="0"/>
                <w:sz w:val="24"/>
                <w:szCs w:val="24"/>
              </w:rPr>
            </w:pPr>
            <w:r>
              <w:rPr>
                <w:rFonts w:hint="eastAsia" w:ascii="黑体" w:hAnsi="黑体" w:eastAsia="黑体" w:cs="黑体"/>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7.1</w:t>
            </w:r>
          </w:p>
        </w:tc>
        <w:tc>
          <w:tcPr>
            <w:tcW w:w="90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试制</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产品</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检验</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合格</w:t>
            </w:r>
          </w:p>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报告</w:t>
            </w:r>
          </w:p>
        </w:tc>
        <w:tc>
          <w:tcPr>
            <w:tcW w:w="3968" w:type="dxa"/>
            <w:vMerge w:val="restart"/>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应当提交符合发证要求的试制产品检验合格报告。</w:t>
            </w: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符合规定要求。</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4</w:t>
            </w:r>
          </w:p>
        </w:tc>
        <w:tc>
          <w:tcPr>
            <w:tcW w:w="737"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restart"/>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非食品安全标准规定的检验项目不全。</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1</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90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3968" w:type="dxa"/>
            <w:vMerge w:val="continue"/>
            <w:tcBorders>
              <w:tl2br w:val="nil"/>
              <w:tr2bl w:val="nil"/>
            </w:tcBorders>
            <w:noWrap/>
            <w:vAlign w:val="center"/>
          </w:tcPr>
          <w:p>
            <w:pPr>
              <w:widowControl/>
              <w:adjustRightInd w:val="0"/>
              <w:snapToGrid w:val="0"/>
              <w:rPr>
                <w:rFonts w:hAnsi="仿宋_GB2312" w:cs="仿宋_GB2312"/>
                <w:bCs/>
                <w:kern w:val="0"/>
                <w:sz w:val="24"/>
                <w:szCs w:val="24"/>
              </w:rPr>
            </w:pPr>
          </w:p>
        </w:tc>
        <w:tc>
          <w:tcPr>
            <w:tcW w:w="3968" w:type="dxa"/>
            <w:tcBorders>
              <w:tl2br w:val="nil"/>
              <w:tr2bl w:val="nil"/>
            </w:tcBorders>
            <w:noWrap/>
            <w:vAlign w:val="center"/>
          </w:tcPr>
          <w:p>
            <w:pPr>
              <w:widowControl/>
              <w:adjustRightInd w:val="0"/>
              <w:snapToGrid w:val="0"/>
              <w:rPr>
                <w:rFonts w:hAnsi="仿宋_GB2312" w:cs="仿宋_GB2312"/>
                <w:bCs/>
                <w:kern w:val="0"/>
                <w:sz w:val="24"/>
                <w:szCs w:val="24"/>
              </w:rPr>
            </w:pPr>
            <w:r>
              <w:rPr>
                <w:rFonts w:hint="eastAsia" w:hAnsi="仿宋_GB2312" w:cs="仿宋_GB2312"/>
                <w:bCs/>
                <w:kern w:val="0"/>
                <w:sz w:val="24"/>
                <w:szCs w:val="24"/>
              </w:rPr>
              <w:t>无检验合格报告，或者食品安全标准规定的检验项目不全。</w:t>
            </w:r>
          </w:p>
        </w:tc>
        <w:tc>
          <w:tcPr>
            <w:tcW w:w="680" w:type="dxa"/>
            <w:tcBorders>
              <w:tl2br w:val="nil"/>
              <w:tr2bl w:val="nil"/>
            </w:tcBorders>
            <w:noWrap/>
            <w:vAlign w:val="center"/>
          </w:tcPr>
          <w:p>
            <w:pPr>
              <w:widowControl/>
              <w:adjustRightInd w:val="0"/>
              <w:snapToGrid w:val="0"/>
              <w:jc w:val="center"/>
              <w:rPr>
                <w:rFonts w:hAnsi="仿宋_GB2312" w:cs="仿宋_GB2312"/>
                <w:bCs/>
                <w:kern w:val="0"/>
                <w:sz w:val="24"/>
                <w:szCs w:val="24"/>
              </w:rPr>
            </w:pPr>
            <w:r>
              <w:rPr>
                <w:rFonts w:hint="eastAsia" w:hAnsi="仿宋_GB2312" w:cs="仿宋_GB2312"/>
                <w:bCs/>
                <w:kern w:val="0"/>
                <w:sz w:val="24"/>
                <w:szCs w:val="24"/>
              </w:rPr>
              <w:t>0</w:t>
            </w:r>
          </w:p>
        </w:tc>
        <w:tc>
          <w:tcPr>
            <w:tcW w:w="737"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c>
          <w:tcPr>
            <w:tcW w:w="1814" w:type="dxa"/>
            <w:vMerge w:val="continue"/>
            <w:tcBorders>
              <w:tl2br w:val="nil"/>
              <w:tr2bl w:val="nil"/>
            </w:tcBorders>
            <w:noWrap/>
            <w:vAlign w:val="center"/>
          </w:tcPr>
          <w:p>
            <w:pPr>
              <w:widowControl/>
              <w:adjustRightInd w:val="0"/>
              <w:snapToGrid w:val="0"/>
              <w:jc w:val="center"/>
              <w:rPr>
                <w:rFonts w:hAnsi="仿宋_GB2312" w:cs="仿宋_GB2312"/>
                <w:bCs/>
                <w:kern w:val="0"/>
                <w:sz w:val="24"/>
                <w:szCs w:val="24"/>
              </w:rPr>
            </w:pPr>
          </w:p>
        </w:tc>
      </w:tr>
    </w:tbl>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sectPr>
          <w:headerReference r:id="rId5" w:type="default"/>
          <w:footerReference r:id="rId7" w:type="default"/>
          <w:headerReference r:id="rId6" w:type="even"/>
          <w:footerReference r:id="rId8" w:type="even"/>
          <w:pgSz w:w="16838" w:h="11906" w:orient="landscape"/>
          <w:pgMar w:top="1587" w:right="2098" w:bottom="1474" w:left="1984" w:header="851" w:footer="907" w:gutter="0"/>
          <w:cols w:space="0" w:num="1"/>
          <w:docGrid w:type="linesAndChars" w:linePitch="589" w:charSpace="-842"/>
        </w:sect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line="336" w:lineRule="auto"/>
        <w:rPr>
          <w:rFonts w:hAnsi="仿宋_GB2312" w:cs="仿宋_GB2312"/>
          <w:bCs/>
          <w:kern w:val="0"/>
          <w:szCs w:val="32"/>
        </w:rPr>
      </w:pPr>
    </w:p>
    <w:p>
      <w:pPr>
        <w:widowControl/>
        <w:adjustRightInd w:val="0"/>
        <w:snapToGrid w:val="0"/>
        <w:spacing w:after="140" w:line="336" w:lineRule="auto"/>
        <w:rPr>
          <w:rFonts w:hAnsi="仿宋_GB2312" w:cs="仿宋_GB2312"/>
          <w:bCs/>
          <w:kern w:val="0"/>
          <w:szCs w:val="32"/>
        </w:rPr>
      </w:pPr>
    </w:p>
    <w:p>
      <w:pPr>
        <w:overflowPunct w:val="0"/>
        <w:adjustRightInd w:val="0"/>
        <w:snapToGrid w:val="0"/>
        <w:spacing w:line="336" w:lineRule="auto"/>
        <w:ind w:firstLine="284"/>
        <w:rPr>
          <w:rFonts w:hAnsi="宋体"/>
          <w:sz w:val="28"/>
          <w:szCs w:val="28"/>
        </w:rPr>
      </w:pPr>
      <w:r>
        <w:rPr>
          <w:sz w:val="28"/>
          <w:szCs w:val="28"/>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262890</wp:posOffset>
                </wp:positionV>
                <wp:extent cx="5615940" cy="0"/>
                <wp:effectExtent l="0" t="0" r="0" b="0"/>
                <wp:wrapNone/>
                <wp:docPr id="3" name="直线 3"/>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20.7pt;height:0pt;width:442.2pt;z-index:251667456;mso-width-relative:page;mso-height-relative:page;" filled="f" stroked="t" coordsize="21600,21600" o:gfxdata="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3oBgx1QAAAAYB&#10;AAAPAAAAAAAAAAEAIAAAADgAAABkcnMvZG93bnJldi54bWxQSwECFAAUAAAACACHTuJAl29Qqc8B&#10;AACRAwAADgAAAAAAAAABACAAAAA6AQAAZHJzL2Uyb0RvYy54bWxQSwUGAAAAAAYABgBZAQAAewUA&#10;AAAA&#10;">
                <v:fill on="f" focussize="0,0"/>
                <v:stroke weight="1pt" color="#000000" joinstyle="round"/>
                <v:imagedata o:title=""/>
                <o:lock v:ext="edit" aspectratio="f"/>
                <w10:anchorlock/>
              </v:line>
            </w:pict>
          </mc:Fallback>
        </mc:AlternateContent>
      </w:r>
      <w:r>
        <w:rPr>
          <w:sz w:val="28"/>
          <w:szCs w:val="28"/>
        </w:rP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-50165</wp:posOffset>
                </wp:positionV>
                <wp:extent cx="5615940" cy="0"/>
                <wp:effectExtent l="0" t="0" r="0" b="0"/>
                <wp:wrapNone/>
                <wp:docPr id="2" name="直线 4"/>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3.95pt;height:0pt;width:442.2pt;z-index:251666432;mso-width-relative:page;mso-height-relative:page;" filled="f" stroked="t" coordsize="21600,21600" o:gfxdata="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ILFldYAAAAG&#10;AQAADwAAAAAAAAABACAAAAA4AAAAZHJzL2Rvd25yZXYueG1sUEsBAhQAFAAAAAgAh07iQDHuzzjP&#10;AQAAkQMAAA4AAAAAAAAAAQAgAAAAOwEAAGRycy9lMm9Eb2MueG1sUEsFBgAAAAAGAAYAWQEAAHwF&#10;AAAAAA==&#10;">
                <v:fill on="f" focussize="0,0"/>
                <v:stroke weight="1pt" color="#000000" joinstyle="round"/>
                <v:imagedata o:title=""/>
                <o:lock v:ext="edit" aspectratio="f"/>
                <w10:anchorlock/>
              </v:line>
            </w:pict>
          </mc:Fallback>
        </mc:AlternateContent>
      </w:r>
      <w:r>
        <w:rPr>
          <w:rFonts w:hint="eastAsia" w:hAnsi="宋体"/>
          <w:sz w:val="28"/>
          <w:szCs w:val="28"/>
        </w:rPr>
        <w:t>上海市市场监督管理局办公室</w:t>
      </w:r>
      <w:r>
        <w:rPr>
          <w:rFonts w:hint="eastAsia" w:hAnsi="宋体"/>
          <w:spacing w:val="-2"/>
          <w:sz w:val="28"/>
          <w:szCs w:val="28"/>
        </w:rPr>
        <w:t xml:space="preserve">               </w:t>
      </w:r>
      <w:r>
        <w:rPr>
          <w:rFonts w:hint="eastAsia" w:hAnsi="宋体"/>
          <w:sz w:val="28"/>
          <w:szCs w:val="28"/>
        </w:rPr>
        <w:t>202</w:t>
      </w:r>
      <w:r>
        <w:rPr>
          <w:rFonts w:hAnsi="宋体"/>
          <w:sz w:val="28"/>
          <w:szCs w:val="28"/>
        </w:rPr>
        <w:t>2</w:t>
      </w:r>
      <w:r>
        <w:rPr>
          <w:rFonts w:hint="eastAsia" w:hAnsi="宋体"/>
          <w:sz w:val="28"/>
          <w:szCs w:val="28"/>
        </w:rPr>
        <w:t>年</w:t>
      </w:r>
      <w:r>
        <w:rPr>
          <w:rFonts w:hAnsi="宋体"/>
          <w:sz w:val="28"/>
          <w:szCs w:val="28"/>
        </w:rPr>
        <w:t>7</w:t>
      </w:r>
      <w:r>
        <w:rPr>
          <w:rFonts w:hint="eastAsia" w:hAnsi="宋体"/>
          <w:sz w:val="28"/>
          <w:szCs w:val="28"/>
        </w:rPr>
        <w:t>月</w:t>
      </w:r>
      <w:r>
        <w:rPr>
          <w:rFonts w:hAnsi="宋体"/>
          <w:sz w:val="28"/>
          <w:szCs w:val="28"/>
        </w:rPr>
        <w:t>19</w:t>
      </w:r>
      <w:r>
        <w:rPr>
          <w:rFonts w:hint="eastAsia" w:hAnsi="宋体"/>
          <w:sz w:val="28"/>
          <w:szCs w:val="28"/>
        </w:rPr>
        <w:t xml:space="preserve">日印发  </w:t>
      </w:r>
    </w:p>
    <w:sectPr>
      <w:headerReference r:id="rId9" w:type="default"/>
      <w:footerReference r:id="rId11" w:type="default"/>
      <w:headerReference r:id="rId10" w:type="even"/>
      <w:footerReference r:id="rId12" w:type="even"/>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13</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both"/>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14</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right"/>
      <w:rPr>
        <w:rFonts w:ascii="宋体" w:hAnsi="宋体" w:eastAsia="宋体"/>
        <w:sz w:val="28"/>
        <w:szCs w:val="28"/>
      </w:rPr>
    </w:pPr>
    <w:r>
      <w:rPr>
        <w:rFonts w:hAnsi="宋体"/>
        <w:szCs w:val="30"/>
      </w:rPr>
      <mc:AlternateContent>
        <mc:Choice Requires="wps">
          <w:drawing>
            <wp:anchor distT="0" distB="0" distL="114300" distR="114300" simplePos="0" relativeHeight="251661312" behindDoc="0" locked="1" layoutInCell="1" allowOverlap="1">
              <wp:simplePos x="0" y="0"/>
              <wp:positionH relativeFrom="column">
                <wp:posOffset>-467995</wp:posOffset>
              </wp:positionH>
              <wp:positionV relativeFrom="paragraph">
                <wp:posOffset>-1277620</wp:posOffset>
              </wp:positionV>
              <wp:extent cx="311150" cy="1082040"/>
              <wp:effectExtent l="0" t="0" r="0" b="0"/>
              <wp:wrapNone/>
              <wp:docPr id="5" name="文本框 4"/>
              <wp:cNvGraphicFramePr/>
              <a:graphic xmlns:a="http://schemas.openxmlformats.org/drawingml/2006/main">
                <a:graphicData uri="http://schemas.microsoft.com/office/word/2010/wordprocessingShape">
                  <wps:wsp>
                    <wps:cNvSpPr txBox="true"/>
                    <wps:spPr>
                      <a:xfrm>
                        <a:off x="0" y="0"/>
                        <a:ext cx="311150" cy="1082040"/>
                      </a:xfrm>
                      <a:prstGeom prst="rect">
                        <a:avLst/>
                      </a:prstGeom>
                      <a:noFill/>
                      <a:ln>
                        <a:noFill/>
                      </a:ln>
                    </wps:spPr>
                    <wps:txbx>
                      <w:txbxContent>
                        <w:p>
                          <w:pPr>
                            <w:pStyle w:val="2"/>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27</w:t>
                          </w:r>
                          <w:r>
                            <w:rPr>
                              <w:rFonts w:hint="eastAsia" w:ascii="宋体" w:hAnsi="宋体"/>
                              <w:sz w:val="28"/>
                              <w:szCs w:val="28"/>
                            </w:rPr>
                            <w:fldChar w:fldCharType="end"/>
                          </w:r>
                          <w:r>
                            <w:rPr>
                              <w:rFonts w:hint="eastAsia" w:ascii="宋体" w:hAnsi="宋体"/>
                              <w:sz w:val="28"/>
                              <w:szCs w:val="28"/>
                            </w:rPr>
                            <w:t xml:space="preserve"> —</w:t>
                          </w:r>
                        </w:p>
                      </w:txbxContent>
                    </wps:txbx>
                    <wps:bodyPr vert="eaVert" wrap="none" lIns="36000" tIns="36000" rIns="36000" bIns="36000" upright="true">
                      <a:spAutoFit/>
                    </wps:bodyPr>
                  </wps:wsp>
                </a:graphicData>
              </a:graphic>
            </wp:anchor>
          </w:drawing>
        </mc:Choice>
        <mc:Fallback>
          <w:pict>
            <v:shape id="文本框 4" o:spid="_x0000_s1026" o:spt="202" type="#_x0000_t202" style="position:absolute;left:0pt;margin-left:-36.85pt;margin-top:-100.6pt;height:85.2pt;width:24.5pt;mso-wrap-style:none;z-index:251661312;mso-width-relative:page;mso-height-relative:page;" filled="f" stroked="f" coordsize="21600,21600" o:gfxdata="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ROoKtoAAAAMAQAADwAAAAAA&#10;AAABACAAAAA4AAAAZHJzL2Rvd25yZXYueG1sUEsBAhQAFAAAAAgAh07iQLJNi6PCAQAAbgMAAA4A&#10;AAAAAAAAAQAgAAAAPwEAAGRycy9lMm9Eb2MueG1sUEsFBgAAAAAGAAYAWQEAAHMFAAAAAA==&#10;">
              <v:fill on="f" focussize="0,0"/>
              <v:stroke on="f"/>
              <v:imagedata o:title=""/>
              <o:lock v:ext="edit" aspectratio="f"/>
              <v:textbox inset="1mm,1mm,1mm,1mm" style="layout-flow:vertical-ideographic;mso-fit-shape-to-text:t;">
                <w:txbxContent>
                  <w:p>
                    <w:pPr>
                      <w:pStyle w:val="2"/>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27</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both"/>
      <w:rPr>
        <w:rFonts w:ascii="宋体" w:hAnsi="宋体" w:eastAsia="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both"/>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28</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Ansi="宋体"/>
        <w:szCs w:val="30"/>
      </w:rPr>
      <mc:AlternateContent>
        <mc:Choice Requires="wps">
          <w:drawing>
            <wp:anchor distT="0" distB="0" distL="114300" distR="114300" simplePos="0" relativeHeight="251659264" behindDoc="0" locked="1" layoutInCell="1" allowOverlap="1">
              <wp:simplePos x="0" y="0"/>
              <wp:positionH relativeFrom="column">
                <wp:posOffset>-467995</wp:posOffset>
              </wp:positionH>
              <wp:positionV relativeFrom="paragraph">
                <wp:posOffset>0</wp:posOffset>
              </wp:positionV>
              <wp:extent cx="311150" cy="108204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311150" cy="1082040"/>
                      </a:xfrm>
                      <a:prstGeom prst="rect">
                        <a:avLst/>
                      </a:prstGeom>
                      <a:noFill/>
                      <a:ln>
                        <a:noFill/>
                      </a:ln>
                    </wps:spPr>
                    <wps:txbx>
                      <w:txbxContent>
                        <w:p>
                          <w:pPr>
                            <w:pStyle w:val="2"/>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26</w:t>
                          </w:r>
                          <w:r>
                            <w:rPr>
                              <w:rFonts w:hint="eastAsia" w:ascii="宋体" w:hAnsi="宋体"/>
                              <w:sz w:val="28"/>
                              <w:szCs w:val="28"/>
                            </w:rPr>
                            <w:fldChar w:fldCharType="end"/>
                          </w:r>
                          <w:r>
                            <w:rPr>
                              <w:rFonts w:hint="eastAsia" w:ascii="宋体" w:hAnsi="宋体"/>
                              <w:sz w:val="28"/>
                              <w:szCs w:val="28"/>
                            </w:rPr>
                            <w:t xml:space="preserve"> —</w:t>
                          </w:r>
                        </w:p>
                      </w:txbxContent>
                    </wps:txbx>
                    <wps:bodyPr vert="eaVert" wrap="none" lIns="36000" tIns="36000" rIns="36000" bIns="36000" upright="true">
                      <a:spAutoFit/>
                    </wps:bodyPr>
                  </wps:wsp>
                </a:graphicData>
              </a:graphic>
            </wp:anchor>
          </w:drawing>
        </mc:Choice>
        <mc:Fallback>
          <w:pict>
            <v:shape id="文本框 3" o:spid="_x0000_s1026" o:spt="202" type="#_x0000_t202" style="position:absolute;left:0pt;margin-left:-36.85pt;margin-top:0pt;height:85.2pt;width:24.5pt;mso-wrap-style:none;z-index:251659264;mso-width-relative:page;mso-height-relative:page;" filled="f" stroked="f" coordsize="21600,21600" o:gfxdata="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LAZ0a1wAAAAgBAAAPAAAAAAAA&#10;AAEAIAAAADgAAABkcnMvZG93bnJldi54bWxQSwECFAAUAAAACACHTuJAzkdI2sQBAABuAwAADgAA&#10;AAAAAAABACAAAAA8AQAAZHJzL2Uyb0RvYy54bWxQSwUGAAAAAAYABgBZAQAAcgUAAAAA&#10;">
              <v:fill on="f" focussize="0,0"/>
              <v:stroke on="f"/>
              <v:imagedata o:title=""/>
              <o:lock v:ext="edit" aspectratio="f"/>
              <v:textbox inset="1mm,1mm,1mm,1mm" style="layout-flow:vertical-ideographic;mso-fit-shape-to-text:t;">
                <w:txbxContent>
                  <w:p>
                    <w:pPr>
                      <w:pStyle w:val="2"/>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26</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58"/>
  <w:drawingGridVerticalSpacing w:val="295"/>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4865"/>
    <w:rsid w:val="00333F64"/>
    <w:rsid w:val="005455DC"/>
    <w:rsid w:val="00637A3C"/>
    <w:rsid w:val="009D43F4"/>
    <w:rsid w:val="00D86451"/>
    <w:rsid w:val="00DD1159"/>
    <w:rsid w:val="4D1F311D"/>
    <w:rsid w:val="6BB4145B"/>
    <w:rsid w:val="6F9DA967"/>
    <w:rsid w:val="9ECFCFA4"/>
    <w:rsid w:val="BDF39F96"/>
    <w:rsid w:val="D9F79DC7"/>
    <w:rsid w:val="EF276648"/>
    <w:rsid w:val="EFF935D1"/>
    <w:rsid w:val="F7AB5BB1"/>
    <w:rsid w:val="FAF5BACF"/>
    <w:rsid w:val="FB991C6D"/>
    <w:rsid w:val="FDFFEAC3"/>
    <w:rsid w:val="FFBF2BC1"/>
    <w:rsid w:val="FFFB4865"/>
    <w:rsid w:val="FFFF41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2"/>
    <w:basedOn w:val="5"/>
    <w:qFormat/>
    <w:uiPriority w:val="0"/>
    <w:rPr>
      <w:rFonts w:hint="eastAsia" w:ascii="仿宋_GB2312" w:eastAsia="仿宋_GB2312" w:cs="仿宋_GB2312"/>
      <w:color w:val="000000"/>
      <w:sz w:val="22"/>
      <w:szCs w:val="22"/>
      <w:u w:val="single"/>
    </w:rPr>
  </w:style>
  <w:style w:type="character" w:customStyle="1" w:styleId="7">
    <w:name w:val="font51"/>
    <w:basedOn w:val="5"/>
    <w:qFormat/>
    <w:uiPriority w:val="0"/>
    <w:rPr>
      <w:rFonts w:hint="eastAsia" w:ascii="仿宋_GB2312" w:eastAsia="仿宋_GB2312" w:cs="仿宋_GB2312"/>
      <w:color w:val="000000"/>
      <w:sz w:val="22"/>
      <w:szCs w:val="22"/>
      <w:u w:val="none"/>
    </w:rPr>
  </w:style>
  <w:style w:type="character" w:customStyle="1" w:styleId="8">
    <w:name w:val="font41"/>
    <w:basedOn w:val="5"/>
    <w:qFormat/>
    <w:uiPriority w:val="0"/>
    <w:rPr>
      <w:rFonts w:ascii="Nimbus Roman No9 L" w:hAnsi="Nimbus Roman No9 L" w:eastAsia="Nimbus Roman No9 L" w:cs="Nimbus Roman No9 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10699</Words>
  <Characters>1410</Characters>
  <Lines>11</Lines>
  <Paragraphs>24</Paragraphs>
  <TotalTime>4</TotalTime>
  <ScaleCrop>false</ScaleCrop>
  <LinksUpToDate>false</LinksUpToDate>
  <CharactersWithSpaces>12085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2022-07-07T22:28:00Z</dcterms:created>
  <dc:creator>scjuser</dc:creator>
  <cp:lastModifiedBy>scjuser</cp:lastModifiedBy>
  <cp:lastPrinted>2022-07-20T09:52:00Z</cp:lastPrinted>
  <dcterms:modified xsi:type="dcterms:W3CDTF">2022-08-02T17:56:21Z</dcterms:modified>
  <dc:title>上海市市场监督管理局关于发布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