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pacing w:val="-4"/>
          <w:kern w:val="32"/>
          <w:sz w:val="30"/>
          <w:szCs w:val="30"/>
        </w:rPr>
      </w:pPr>
      <w:r>
        <w:rPr>
          <w:rFonts w:hint="eastAsia" w:ascii="仿宋" w:hAnsi="仿宋" w:eastAsia="仿宋" w:cs="仿宋"/>
          <w:spacing w:val="-4"/>
          <w:kern w:val="32"/>
          <w:sz w:val="30"/>
          <w:szCs w:val="30"/>
        </w:rPr>
        <w:t>附件1</w:t>
      </w:r>
    </w:p>
    <w:p>
      <w:pPr>
        <w:ind w:right="600"/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1" w:name="_GoBack"/>
      <w:bookmarkStart w:id="0" w:name="_Toc491874204"/>
      <w:r>
        <w:rPr>
          <w:rFonts w:hint="eastAsia" w:ascii="微软雅黑" w:hAnsi="微软雅黑" w:eastAsia="微软雅黑"/>
          <w:b/>
          <w:sz w:val="36"/>
          <w:szCs w:val="36"/>
        </w:rPr>
        <w:t>塘桥街道“12345”市民服务热线</w:t>
      </w:r>
    </w:p>
    <w:p>
      <w:pPr>
        <w:ind w:right="600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绩效考核实施办法</w:t>
      </w:r>
      <w:bookmarkEnd w:id="1"/>
      <w:bookmarkEnd w:id="0"/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为进一步加强塘桥街道“12345”市民服务热线工作，提升热线处置实效，制定如下实施办法：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指导思想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入贯彻落实市委、市政府关于推进政务服务“一网通办”和城市运行“一网统管”的总体部署要求，全力确保热线“接得更快、分得更准、办得更实”，全力实现市民服务“一号响应”、民意诉求“一线通达”，实现高效能治理和高质量服务，进一步提升塘桥市民服务热线工作响应速度和社会治理水平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考核原则</w:t>
      </w:r>
    </w:p>
    <w:p>
      <w:pPr>
        <w:pStyle w:val="5"/>
        <w:spacing w:line="520" w:lineRule="exact"/>
        <w:ind w:left="60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坚持客观公正、注重实效、突出重点、月度为主原则。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考核实施主体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在浦东新区城市运行管理塘桥街道分中心（以下简称：城运分中心）领导小组统一领导下，城运分中心作为考核实施主体具体负责实施本办法。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考核对象</w:t>
      </w:r>
    </w:p>
    <w:p>
      <w:pPr>
        <w:pStyle w:val="5"/>
        <w:spacing w:line="5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塘桥街道范围内所有参与“一网统管”的相关处置部门、单位、居委。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考核项目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考核项目主要有基础绩效、加分事项和扣分事项3个方面，具体如下：</w:t>
      </w:r>
    </w:p>
    <w:p>
      <w:pPr>
        <w:numPr>
          <w:ilvl w:val="0"/>
          <w:numId w:val="2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基础绩效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以日常业务运行数据为考核依据，主要考评主办工单量、及时处置率、回访先行联系率、回访诉求解决率和回访市民满意率5个指标。详见附表。</w:t>
      </w:r>
    </w:p>
    <w:p>
      <w:pPr>
        <w:numPr>
          <w:ilvl w:val="0"/>
          <w:numId w:val="2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加分事项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加分事项重在对上级表扬、典型经验做法、主动跨前等方面进行评价考核。详见以下第六点中奖惩制度。</w:t>
      </w:r>
    </w:p>
    <w:p>
      <w:pPr>
        <w:numPr>
          <w:ilvl w:val="0"/>
          <w:numId w:val="2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扣分事项</w:t>
      </w:r>
    </w:p>
    <w:p>
      <w:pPr>
        <w:spacing w:line="520" w:lineRule="exact"/>
        <w:ind w:firstLine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扣分事项主要对被领导约谈、督察督办、工单办理等方面进行评价考核。详见以下第六点中奖惩制度。</w:t>
      </w:r>
    </w:p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六、考核方式（年度考核以月度绩效评价结果为主）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（一）热线基础得分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（街道各处置部门、单位、26个居委）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1、承办量（满分100分）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根据受理诉求量，从高到低排名；受理量最高的得满分，最低得该项分值的60%，其余按工单量多少取中间分值。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2、及时处置率（满分100分）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处置责任部门收到城运分中心派遣的有效案卷后，按照规定的处置时限进行处置，并将处理结果及时反馈到城运分中心，要求结案。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对案卷处置的时效性，以及时率进行评分。即：及时率得分＝（1－超期案卷数÷接收案卷数）×100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3、先行联系率（满分100分）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根据回访情况计分，回访先行联系/总评价人次。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4、诉求解决率（满分100分）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根据回访情况计分，市民测评“实际解决”、“解释说明”两类情况计100分，“参考备案”计70分，“未解决”计0分。实际解决件数*100+解释说明件数*100+参考备案件数*70/（总评价人次*100）。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4、市民满意度（满分100分）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根据回访情况计分，市民测评整体“满意”计100分、“基本满意”计80分，“一般”计60分，“不满意”计0分（满意人次×100+基本满意人次×80+一般人次×60）/（总评价人次×100）。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5、综合得分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综合得分＝承办量得分×5%+及时处置率得分×10%+回访先行联系率得分×25%+回访诉求解决率得分×25%+回访市民满意率得分×35%－投诉责任扣分－受理责任扣分+奖励加分。</w:t>
      </w:r>
    </w:p>
    <w:tbl>
      <w:tblPr>
        <w:tblStyle w:val="3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992"/>
        <w:gridCol w:w="2127"/>
        <w:gridCol w:w="1368"/>
        <w:gridCol w:w="174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工作绩效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评分项目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权重/分值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评分细则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主办工单量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承办量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当月受理案卷数</w:t>
            </w:r>
          </w:p>
        </w:tc>
        <w:tc>
          <w:tcPr>
            <w:tcW w:w="136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0.05/5分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根据受理诉求量，从高到低排名；受理量最高的得满分，最低得3分，其余按工单量多少取中间分值。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处理情况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及时处置情况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及时处置率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0.1/10分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及时率得分=（（1－超期工单数/应办结数）×100）×</w:t>
            </w:r>
            <w:r>
              <w:rPr>
                <w:rFonts w:hint="eastAsia" w:ascii="仿宋" w:hAnsi="仿宋" w:eastAsia="仿宋"/>
                <w:szCs w:val="21"/>
              </w:rPr>
              <w:t>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先行联系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回访先行联系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先行联系率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0.25/25分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回访先行联系率/总评价人次*</w:t>
            </w:r>
            <w:r>
              <w:rPr>
                <w:rFonts w:hint="eastAsia" w:ascii="仿宋" w:hAnsi="仿宋" w:eastAsia="仿宋"/>
                <w:szCs w:val="21"/>
              </w:rPr>
              <w:t>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系统得出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诉求解决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回访诉求解决情况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诉求解决率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0.25/25分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根据回访情况计分，市民测评“实际解决”、“解释说明”两类情况计100分，“参考备案”计70分，“未解决”计0分。实际解决件数*100+解释说明件数*100+参考备案件数*70/（总评价人次*100）*</w:t>
            </w:r>
            <w:r>
              <w:rPr>
                <w:rFonts w:hint="eastAsia" w:ascii="仿宋" w:hAnsi="仿宋" w:eastAsia="仿宋"/>
                <w:szCs w:val="21"/>
              </w:rPr>
              <w:t>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5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市民满意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回访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市民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满意度</w:t>
            </w:r>
          </w:p>
        </w:tc>
        <w:tc>
          <w:tcPr>
            <w:tcW w:w="212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市民满意率</w:t>
            </w:r>
          </w:p>
        </w:tc>
        <w:tc>
          <w:tcPr>
            <w:tcW w:w="13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0.35/35分 </w:t>
            </w:r>
          </w:p>
        </w:tc>
        <w:tc>
          <w:tcPr>
            <w:tcW w:w="1745" w:type="dxa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根据回访情况计分，市民测评“满意”计100分、“基本满意”计80分，“一般”计60分，“不满意”计0分（满意人次×100+基本满意人次×80+一般人次×60）/（总评价人次×100）×指标分值</w:t>
            </w:r>
          </w:p>
        </w:tc>
        <w:tc>
          <w:tcPr>
            <w:tcW w:w="113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（二）奖惩制度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1、投诉责任扣分制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对重要新闻媒体曝光、领导批件、居民投诉等反映的问题，经核实，处置责任部门确实存在处置不及时、处置不当，由街道考核责任主体认定，对相关处置责任部门进行扣分，并将情况报街道纪检监察室、街道党工委。每出现一件责任事件，扣3分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（2）因</w:t>
      </w:r>
      <w:r>
        <w:rPr>
          <w:rFonts w:hint="eastAsia" w:ascii="仿宋" w:hAnsi="仿宋" w:eastAsia="仿宋"/>
          <w:color w:val="000000"/>
          <w:sz w:val="28"/>
          <w:szCs w:val="28"/>
        </w:rPr>
        <w:t>应急管理工作不到位的、</w:t>
      </w:r>
      <w:r>
        <w:rPr>
          <w:rFonts w:hint="eastAsia" w:ascii="仿宋" w:hAnsi="仿宋" w:eastAsia="仿宋"/>
          <w:sz w:val="28"/>
          <w:szCs w:val="28"/>
        </w:rPr>
        <w:t>弄虚作假被市、区城运中心通报的，每次扣3分，同时报街道纪检监察室、街道党工委。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（3）因弄虚作假被市相关部门通报或确定纳入街道年度扣分项的，扣5分，同时报街道纪检监察室、街道党工委。</w:t>
      </w:r>
    </w:p>
    <w:p>
      <w:pPr>
        <w:spacing w:line="520" w:lineRule="exact"/>
        <w:ind w:firstLine="602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2、受理责任扣分制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（1）相关处置责任部门工作推诿，未能按“三个责任制”的要求积极落实案卷处置工作的，经城运分中心提醒仍不改正的，每件扣1分。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（2）市级督办件每件扣1.5分，未按期完成的每件扣2分；区级督办件每件扣1分，未按期完成的每件扣1.5分；塘桥城运中心督办件每件扣0.5分，未按期完成的每件扣1分。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（3）被街道主要领导约谈，每次扣3分；被城运分中心分管领导约谈，每次扣1分。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经区级督查现场暗访核查未实际解决或处置不彻底被通报的，每件扣1分；经城运分中心现场核查未解决或处置不彻底的，每件扣0.5分，经区中心“回头看”复核仍未实际解决或处置不彻底被通报的，每件扣0.5分，经城运分中心“回头看”复核仍未实际解决或处置不彻底的每件满2次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（5）连续二月绩效排名倒数第一的，每次扣1分。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（6）《塘桥城运热线工作 “负面清单”》的应用，根据“负面清单”相关事项进行扣分。</w:t>
      </w:r>
    </w:p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奖励加分制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为进一步减少处置部门、单位、居委之间的扯皮现象，提高处置效率，鼓励有关处置责任部门、单位、居委积极解决问题，明确责任的基础上，对符合下列条件的，可对有关处置责任部门、单位、居委进行加分奖励：</w:t>
      </w:r>
    </w:p>
    <w:p>
      <w:pPr>
        <w:spacing w:line="520" w:lineRule="exact"/>
        <w:ind w:firstLine="714" w:firstLineChars="2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（1）对于处置责任确实难以界定，涉及需多个部门协调解决的案卷时，作为处置责任主办单位</w:t>
      </w:r>
      <w:r>
        <w:rPr>
          <w:rFonts w:hint="eastAsia" w:ascii="仿宋" w:hAnsi="仿宋" w:eastAsia="仿宋"/>
          <w:color w:val="000000"/>
          <w:sz w:val="28"/>
          <w:szCs w:val="28"/>
        </w:rPr>
        <w:t>能主动积极予以在规定时间内办结的，主办单位向城运分中心提出申请，</w:t>
      </w:r>
      <w:r>
        <w:rPr>
          <w:rFonts w:hint="eastAsia" w:ascii="仿宋" w:hAnsi="仿宋" w:eastAsia="仿宋"/>
          <w:sz w:val="28"/>
          <w:szCs w:val="28"/>
        </w:rPr>
        <w:t>经城运分中心认定，</w:t>
      </w:r>
      <w:r>
        <w:rPr>
          <w:rFonts w:hint="eastAsia" w:ascii="仿宋" w:hAnsi="仿宋" w:eastAsia="仿宋"/>
          <w:color w:val="000000"/>
          <w:sz w:val="28"/>
          <w:szCs w:val="28"/>
        </w:rPr>
        <w:t>每件加1分（同一事项不得重复加分）。</w:t>
      </w:r>
    </w:p>
    <w:p>
      <w:pPr>
        <w:spacing w:line="52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（2）对于暂无明确处置责任部门的案卷，在城运分中心协调商定、城运分中心指挥室或街道领导指定具体的责任部门后，被明确的责任部门能积极予以在规定时间内办结的，则每件加0.5分。</w:t>
      </w:r>
    </w:p>
    <w:p>
      <w:pPr>
        <w:spacing w:line="52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对典型案例或经验做法被市委市政府市级部门领导批示表扬或录用、国家、市级主要媒体录用的，经城运分中心认定，相关处置责任部门每件加2分；被区委区政府区级部门领导批示表扬或录用、区级主要媒体录用的，经城运分中心认定，相关处置责任部门每件加1分。</w:t>
      </w:r>
    </w:p>
    <w:p>
      <w:pPr>
        <w:spacing w:line="52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（4）当月热线基础绩效排名较上月提升3名的，加0.5分。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对于奖励加分的决定，由相关处置责任部门提出申请，</w:t>
      </w:r>
      <w:r>
        <w:rPr>
          <w:rFonts w:hint="eastAsia" w:ascii="仿宋" w:hAnsi="仿宋" w:eastAsia="仿宋"/>
          <w:sz w:val="28"/>
          <w:szCs w:val="28"/>
        </w:rPr>
        <w:t>城运分中心</w:t>
      </w:r>
      <w:r>
        <w:rPr>
          <w:rFonts w:hint="eastAsia" w:ascii="仿宋" w:hAnsi="仿宋" w:eastAsia="仿宋"/>
          <w:color w:val="000000"/>
          <w:sz w:val="28"/>
          <w:szCs w:val="28"/>
        </w:rPr>
        <w:t>负责提供相关案卷派发、处理情况交由相关会议商议决定。</w:t>
      </w:r>
    </w:p>
    <w:p>
      <w:pPr>
        <w:spacing w:line="520" w:lineRule="exact"/>
        <w:ind w:firstLine="602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七、考评结果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1、综合考核以月为单位进行考评，季度、半年度、年度考评将在月度考评的基础上，平均计算考评成绩。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2、对各处置责任部门的考核分“优秀”、“良好”、“合格”、“不合格”四个等级。其中90分及以上为“优秀”；80分－89分为“良好”；65分－79分为“合格”；65分以下为“不合格”。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3、此考核成绩（包括季度、年度）获得优秀的处置部门、单位、居委在城运领导小组会议上进行通报表彰。年度审查成绩将与各部门、单位、居委年终考核相挂勾，并作为年终评比先进的依据之一。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4、考评结果报送街道党工委、全体班子成员以及纪检监察室，并抄送所有部门、单位、居委负责人。</w:t>
      </w:r>
    </w:p>
    <w:p>
      <w:pPr>
        <w:spacing w:line="520" w:lineRule="exact"/>
        <w:ind w:firstLine="602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 八、附则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1、本办法由</w:t>
      </w:r>
      <w:r>
        <w:rPr>
          <w:rFonts w:hint="eastAsia" w:ascii="仿宋" w:hAnsi="仿宋" w:eastAsia="仿宋"/>
          <w:sz w:val="28"/>
          <w:szCs w:val="28"/>
        </w:rPr>
        <w:t>浦东新区城市运行管理塘桥街道分中心</w:t>
      </w:r>
      <w:r>
        <w:rPr>
          <w:rFonts w:hint="eastAsia" w:ascii="仿宋" w:hAnsi="仿宋" w:eastAsia="仿宋"/>
          <w:color w:val="000000"/>
          <w:sz w:val="28"/>
          <w:szCs w:val="28"/>
        </w:rPr>
        <w:t>负责解释。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2、本办法自颁布之日起施行。</w:t>
      </w:r>
    </w:p>
    <w:p>
      <w:pPr>
        <w:spacing w:line="520" w:lineRule="exact"/>
        <w:ind w:firstLine="6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color w:val="000000"/>
          <w:sz w:val="30"/>
          <w:szCs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C5619"/>
    <w:multiLevelType w:val="multilevel"/>
    <w:tmpl w:val="0D9C561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7D72145"/>
    <w:multiLevelType w:val="multilevel"/>
    <w:tmpl w:val="27D72145"/>
    <w:lvl w:ilvl="0" w:tentative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TU4YjZhYTUzMTMwNDg5YTZkNDdlMDQ5ZWU1ZTkifQ=="/>
  </w:docVars>
  <w:rsids>
    <w:rsidRoot w:val="4E9C6299"/>
    <w:rsid w:val="4E9C6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2023-09-04T07:15:00Z</dcterms:created>
  <dc:creator>lenovo</dc:creator>
  <cp:lastModifiedBy>lenovo</cp:lastModifiedBy>
  <dcterms:modified xsi:type="dcterms:W3CDTF">2023-09-04T07:16:17Z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7BE9ECF68E4140C1A027A248C11AEC68_11</vt:lpwstr>
  </property>
</Properties>
</file>