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blPrEx>
          <w:tblCellMar>
            <w:top w:w="0" w:type="dxa"/>
            <w:left w:w="108" w:type="dxa"/>
            <w:bottom w:w="0" w:type="dxa"/>
            <w:right w:w="108" w:type="dxa"/>
          </w:tblCellMar>
        </w:tblPrEx>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ascii="宋体" w:hAnsi="宋体" w:eastAsia="宋体" w:cs="宋体"/>
                <w:color w:val="000000"/>
                <w:kern w:val="0"/>
                <w:sz w:val="28"/>
                <w:szCs w:val="28"/>
              </w:rPr>
              <w:t>2</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eastAsia="zh-CN"/>
              </w:rPr>
              <w:t>上半年</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42870</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44922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24418</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26155</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27439</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14607</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 xml:space="preserve">9.9 </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 xml:space="preserve">9.7 </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 xml:space="preserve">13.9 </w:t>
            </w:r>
            <w:r>
              <w:rPr>
                <w:rFonts w:ascii="宋体" w:hAnsi="宋体" w:eastAsia="宋体" w:cs="宋体"/>
                <w:bCs/>
                <w:color w:val="000000"/>
                <w:kern w:val="0"/>
                <w:sz w:val="24"/>
                <w:szCs w:val="24"/>
              </w:rPr>
              <w:t xml:space="preserve">   </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24.4 </w:t>
            </w:r>
            <w:r>
              <w:rPr>
                <w:rFonts w:ascii="宋体" w:hAnsi="宋体" w:eastAsia="宋体" w:cs="宋体"/>
                <w:bCs/>
                <w:color w:val="000000"/>
                <w:kern w:val="0"/>
                <w:sz w:val="24"/>
                <w:szCs w:val="24"/>
              </w:rPr>
              <w:t xml:space="preserve">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24.5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 xml:space="preserve">22.7 </w:t>
            </w:r>
            <w:r>
              <w:rPr>
                <w:rFonts w:ascii="宋体" w:hAnsi="宋体" w:eastAsia="宋体" w:cs="宋体"/>
                <w:bCs/>
                <w:color w:val="000000"/>
                <w:kern w:val="0"/>
                <w:sz w:val="24"/>
                <w:szCs w:val="24"/>
              </w:rPr>
              <w:t xml:space="preserve">   </w:t>
            </w:r>
          </w:p>
        </w:tc>
      </w:tr>
      <w:tr>
        <w:tblPrEx>
          <w:tblCellMar>
            <w:top w:w="0" w:type="dxa"/>
            <w:left w:w="108" w:type="dxa"/>
            <w:bottom w:w="0" w:type="dxa"/>
            <w:right w:w="108" w:type="dxa"/>
          </w:tblCellMar>
        </w:tblPrEx>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8190" w:hRule="atLeast"/>
        </w:trPr>
        <w:tc>
          <w:tcPr>
            <w:tcW w:w="8860" w:type="dxa"/>
            <w:gridSpan w:val="4"/>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p>
            <w:pPr>
              <w:widowControl/>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3、受上年同期基数较低影响，2023年上半年我市居民可支配收入和消费支出增幅较高，处于恢复性增长阶段。</w:t>
            </w:r>
          </w:p>
        </w:tc>
      </w:tr>
    </w:tbl>
    <w:p>
      <w:bookmarkStart w:id="0" w:name="_GoBack"/>
      <w:bookmarkEnd w:id="0"/>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7C83325B"/>
    <w:rsid w:val="D77992F6"/>
    <w:rsid w:val="EECF29AC"/>
    <w:rsid w:val="F64E606B"/>
    <w:rsid w:val="FCFBD6E2"/>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61</TotalTime>
  <ScaleCrop>false</ScaleCrop>
  <LinksUpToDate>false</LinksUpToDate>
  <CharactersWithSpaces>964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2022-07-16T15:15:00Z</dcterms:created>
  <dc:creator>chengss</dc:creator>
  <cp:lastModifiedBy>kylin</cp:lastModifiedBy>
  <cp:lastPrinted>2018-07-21T09:17:00Z</cp:lastPrinted>
  <dcterms:modified xsi:type="dcterms:W3CDTF">2023-07-17T16:04:06Z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