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652"/>
        </w:tabs>
        <w:spacing w:line="336" w:lineRule="auto"/>
        <w:ind w:firstLine="0"/>
        <w:rPr>
          <w:rFonts w:hint="eastAsia" w:ascii="仿宋" w:hAnsi="仿宋" w:eastAsia="仿宋" w:cs="黑体"/>
          <w:color w:val="000000"/>
          <w:spacing w:val="-6"/>
          <w:sz w:val="30"/>
          <w:szCs w:val="30"/>
          <w:lang w:val="en-US"/>
        </w:rPr>
      </w:pPr>
      <w:r>
        <w:rPr>
          <w:rFonts w:hint="eastAsia" w:ascii="仿宋" w:hAnsi="仿宋" w:eastAsia="仿宋" w:cs="黑体"/>
          <w:color w:val="000000"/>
          <w:spacing w:val="-6"/>
          <w:sz w:val="30"/>
          <w:szCs w:val="30"/>
          <w:lang w:val="en-US"/>
        </w:rPr>
        <w:t>附件3</w:t>
      </w:r>
    </w:p>
    <w:p>
      <w:pPr>
        <w:pStyle w:val="4"/>
        <w:tabs>
          <w:tab w:val="left" w:pos="652"/>
        </w:tabs>
        <w:spacing w:line="336" w:lineRule="auto"/>
        <w:ind w:firstLine="0"/>
        <w:jc w:val="center"/>
        <w:rPr>
          <w:rFonts w:ascii="仿宋" w:hAnsi="仿宋" w:eastAsia="仿宋" w:cs="方正小标宋简体"/>
          <w:b/>
          <w:color w:val="000000"/>
          <w:sz w:val="30"/>
          <w:szCs w:val="30"/>
          <w:lang w:val="en-US"/>
        </w:rPr>
      </w:pPr>
      <w:bookmarkStart w:id="0" w:name="_GoBack"/>
      <w:r>
        <w:rPr>
          <w:rFonts w:hint="eastAsia" w:ascii="仿宋" w:hAnsi="仿宋" w:eastAsia="仿宋" w:cs="方正小标宋简体"/>
          <w:b/>
          <w:color w:val="000000"/>
          <w:sz w:val="30"/>
          <w:szCs w:val="30"/>
        </w:rPr>
        <w:t>塘桥街道居民区联勤联动站工作职能</w:t>
      </w:r>
    </w:p>
    <w:bookmarkEnd w:id="0"/>
    <w:p>
      <w:pPr>
        <w:pStyle w:val="4"/>
        <w:tabs>
          <w:tab w:val="left" w:pos="652"/>
        </w:tabs>
        <w:spacing w:line="336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（一）</w:t>
      </w:r>
      <w:r>
        <w:rPr>
          <w:rFonts w:ascii="仿宋" w:hAnsi="仿宋" w:eastAsia="仿宋" w:cs="Times New Roman"/>
          <w:sz w:val="30"/>
          <w:szCs w:val="30"/>
        </w:rPr>
        <w:t>居民区联勤联动“微平台”作为城市运行“一网统管”三级平台的延伸点和五级运用的着力点，在政法条线的行业要求下，通过发挥社区自治共治作用，强化城市运行综合管理职能，不断提升人、事、物管理效能。</w:t>
      </w:r>
    </w:p>
    <w:p>
      <w:pPr>
        <w:ind w:firstLine="600" w:firstLineChars="200"/>
      </w:pPr>
      <w:r>
        <w:rPr>
          <w:rFonts w:hint="eastAsia" w:ascii="仿宋" w:hAnsi="仿宋" w:eastAsia="仿宋" w:cs="Times New Roman"/>
          <w:sz w:val="30"/>
          <w:szCs w:val="30"/>
        </w:rPr>
        <w:t>（二）</w:t>
      </w:r>
      <w:r>
        <w:rPr>
          <w:rFonts w:ascii="仿宋" w:hAnsi="仿宋" w:eastAsia="仿宋" w:cs="Times New Roman"/>
          <w:sz w:val="30"/>
          <w:szCs w:val="30"/>
        </w:rPr>
        <w:t>日常主要职能包括：围绕巡查发现、工单处置、协同处突等职能，快速发现、迅速上报城市管理问题</w:t>
      </w:r>
      <w:r>
        <w:rPr>
          <w:rFonts w:hint="eastAsia" w:ascii="仿宋" w:hAnsi="仿宋" w:eastAsia="仿宋" w:cs="Times New Roman"/>
          <w:sz w:val="30"/>
          <w:szCs w:val="30"/>
        </w:rPr>
        <w:t>、</w:t>
      </w:r>
      <w:r>
        <w:rPr>
          <w:rFonts w:ascii="仿宋" w:hAnsi="仿宋" w:eastAsia="仿宋" w:cs="Times New Roman"/>
          <w:sz w:val="30"/>
          <w:szCs w:val="30"/>
        </w:rPr>
        <w:t>突发事件及风险隐患，及时受理、按时办结城运工单，参与社区治理问题的巡查发现、现场核实、自治处置及协同上报等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TU4YjZhYTUzMTMwNDg5YTZkNDdlMDQ5ZWU1ZTkifQ=="/>
  </w:docVars>
  <w:rsids>
    <w:rsidRoot w:val="364A5E5C"/>
    <w:rsid w:val="364A5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2023-08-07T02:31:00Z</dcterms:created>
  <dc:creator>lenovo</dc:creator>
  <cp:lastModifiedBy>lenovo</cp:lastModifiedBy>
  <dcterms:modified xsi:type="dcterms:W3CDTF">2023-08-07T02:31:54Z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865E4AB9714A40BD92698F3737447CFE_11</vt:lpwstr>
  </property>
</Properties>
</file>