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B585">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2C0A92C">
      <w:pPr>
        <w:spacing w:line="600" w:lineRule="exact"/>
        <w:jc w:val="both"/>
        <w:rPr>
          <w:rFonts w:hint="default" w:ascii="宋体" w:hAnsi="宋体" w:eastAsia="宋体" w:cs="黑体"/>
          <w:b/>
          <w:bCs/>
          <w:sz w:val="44"/>
          <w:szCs w:val="44"/>
          <w:lang w:val="en-US" w:eastAsia="zh-CN"/>
        </w:rPr>
      </w:pPr>
    </w:p>
    <w:p w14:paraId="5B2BD1B5">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bookmarkStart w:id="2" w:name="_GoBack"/>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浦东新区2024-2025年高素质农民培育学用贯通综合试点实施方案</w:t>
      </w:r>
    </w:p>
    <w:bookmarkEnd w:id="2"/>
    <w:p w14:paraId="2F9DB027">
      <w:pPr>
        <w:ind w:firstLine="723" w:firstLineChars="200"/>
        <w:rPr>
          <w:rFonts w:ascii="Times New Roman" w:hAnsi="Times New Roman" w:eastAsia="华文中宋" w:cs="Times New Roman"/>
          <w:b/>
          <w:bCs/>
          <w:sz w:val="36"/>
          <w:szCs w:val="36"/>
          <w14:ligatures w14:val="standardContextual"/>
        </w:rPr>
      </w:pPr>
    </w:p>
    <w:p w14:paraId="35AF7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14:ligatures w14:val="standardContextual"/>
        </w:rPr>
      </w:pPr>
      <w:r>
        <w:rPr>
          <w:rFonts w:ascii="Times New Roman" w:hAnsi="Times New Roman" w:eastAsia="黑体" w:cs="Times New Roman"/>
          <w:sz w:val="32"/>
          <w:szCs w:val="32"/>
          <w14:ligatures w14:val="standardContextual"/>
        </w:rPr>
        <w:t>一、</w:t>
      </w:r>
      <w:r>
        <w:rPr>
          <w:rFonts w:hint="eastAsia" w:ascii="Times New Roman" w:hAnsi="Times New Roman" w:eastAsia="黑体" w:cs="Times New Roman"/>
          <w:sz w:val="32"/>
          <w:szCs w:val="32"/>
          <w14:ligatures w14:val="standardContextual"/>
        </w:rPr>
        <w:t>总体要求</w:t>
      </w:r>
    </w:p>
    <w:p w14:paraId="3DA4D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14:ligatures w14:val="standardContextual"/>
        </w:rPr>
      </w:pPr>
      <w:r>
        <w:rPr>
          <w:rFonts w:hint="eastAsia" w:ascii="Times New Roman" w:hAnsi="Times New Roman" w:eastAsia="仿宋_GB2312" w:cs="Times New Roman"/>
          <w:sz w:val="32"/>
          <w:szCs w:val="32"/>
          <w14:ligatures w14:val="standardContextual"/>
        </w:rPr>
        <w:t>以习近平新时代中国特色社会主义思想为指导，深入贯彻习近平总书记关于“三农”工作重要论述和视察上海重要讲话指示精神，认真落实中央一号文件精神，根据浦东新区区委、区府要求，围绕“打造全面推进乡村振兴的引领区样板”目标定位，聚焦农村一二三产业融合发展和农村新产业、新业态的人才需求，坚持学用结合、以用为主、重在实效的理念，开展学用贯通试点，拓展培育目标，拓宽培育内容，创新培育方式，探索培育路径，统筹多方资源，推动人才培养和就业创业紧密联系、双向贯通，大力提高农民综合素质，促进本区农村经济社会繁荣，提升多渠道、多行业、多地区就业增收能力。</w:t>
      </w:r>
    </w:p>
    <w:p w14:paraId="29BB9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14:ligatures w14:val="standardContextual"/>
        </w:rPr>
      </w:pPr>
      <w:r>
        <w:rPr>
          <w:rFonts w:hint="eastAsia" w:ascii="Times New Roman" w:hAnsi="Times New Roman" w:eastAsia="黑体" w:cs="Times New Roman"/>
          <w:sz w:val="32"/>
          <w:szCs w:val="32"/>
          <w14:ligatures w14:val="standardContextual"/>
        </w:rPr>
        <w:t>二</w:t>
      </w:r>
      <w:r>
        <w:rPr>
          <w:rFonts w:ascii="Times New Roman" w:hAnsi="Times New Roman" w:eastAsia="黑体" w:cs="Times New Roman"/>
          <w:sz w:val="32"/>
          <w:szCs w:val="32"/>
          <w14:ligatures w14:val="standardContextual"/>
        </w:rPr>
        <w:t>、</w:t>
      </w:r>
      <w:r>
        <w:rPr>
          <w:rFonts w:hint="eastAsia" w:ascii="Times New Roman" w:hAnsi="Times New Roman" w:eastAsia="黑体" w:cs="Times New Roman"/>
          <w:sz w:val="32"/>
          <w:szCs w:val="32"/>
          <w14:ligatures w14:val="standardContextual"/>
        </w:rPr>
        <w:t>目标任务</w:t>
      </w:r>
    </w:p>
    <w:p w14:paraId="0B617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2024-2025年，围绕浦东新区现代农业产业高水平发展、农村集体经济高质量发展，遴选培育适应引领区乡村振兴的高素质农民100人。在两年培养期内协议帮带约600人，通过产业平台辐射带动约2000人。</w:t>
      </w:r>
    </w:p>
    <w:p w14:paraId="0DBE1814">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（一）培育乡村CEO50人</w:t>
      </w:r>
    </w:p>
    <w:p w14:paraId="08D9F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乡村CEO即乡村职业经理人，属于农村集体经济经营管理类人才，他们致力于特色农业、智慧农业、生态农业、文旅农业、康养农业等融合性新业态运营。其主要职能包括盘活集体资产、个体资产在内的农村闲置资源，理顺农村产业发展方向，调动农民主体意识，促进农业农村现代化转型等。</w:t>
      </w:r>
      <w:r>
        <w:rPr>
          <w:rFonts w:hint="eastAsia" w:ascii="Times New Roman" w:hAnsi="Times New Roman" w:eastAsia="仿宋_GB2312" w:cs="Times New Roman"/>
          <w:sz w:val="32"/>
          <w:szCs w:val="32"/>
        </w:rPr>
        <w:t>本项目计划主要</w:t>
      </w:r>
      <w:r>
        <w:rPr>
          <w:rFonts w:hint="eastAsia" w:ascii="Times New Roman" w:hAnsi="Times New Roman" w:eastAsia="仿宋_GB2312" w:cs="Times New Roman"/>
          <w:sz w:val="32"/>
          <w:szCs w:val="32"/>
          <w14:ligatures w14:val="standardContextual"/>
        </w:rPr>
        <w:t>在乡村振兴示范村、美丽乡村示范村等</w:t>
      </w:r>
      <w:r>
        <w:rPr>
          <w:rFonts w:ascii="Times New Roman" w:hAnsi="Times New Roman" w:eastAsia="仿宋_GB2312" w:cs="Times New Roman"/>
          <w:sz w:val="32"/>
          <w:szCs w:val="32"/>
          <w14:ligatures w14:val="standardContextual"/>
        </w:rPr>
        <w:t>村</w:t>
      </w:r>
      <w:r>
        <w:rPr>
          <w:rFonts w:hint="eastAsia" w:ascii="Times New Roman" w:hAnsi="Times New Roman" w:eastAsia="仿宋_GB2312" w:cs="Times New Roman"/>
          <w:sz w:val="32"/>
          <w:szCs w:val="32"/>
          <w14:ligatures w14:val="standardContextual"/>
        </w:rPr>
        <w:t>中遴选50个</w:t>
      </w:r>
      <w:r>
        <w:rPr>
          <w:rFonts w:ascii="Times New Roman" w:hAnsi="Times New Roman" w:eastAsia="仿宋_GB2312" w:cs="Times New Roman"/>
          <w:sz w:val="32"/>
          <w:szCs w:val="32"/>
          <w14:ligatures w14:val="standardContextual"/>
        </w:rPr>
        <w:t>村</w:t>
      </w:r>
      <w:r>
        <w:rPr>
          <w:rFonts w:hint="eastAsia" w:ascii="Times New Roman" w:hAnsi="Times New Roman" w:eastAsia="仿宋_GB2312" w:cs="Times New Roman"/>
          <w:sz w:val="32"/>
          <w:szCs w:val="32"/>
          <w14:ligatures w14:val="standardContextual"/>
        </w:rPr>
        <w:t>，为每村培育1名从事整村运营或项目运营的乡村CEO。</w:t>
      </w:r>
      <w:r>
        <w:rPr>
          <w:rFonts w:hint="eastAsia" w:ascii="Times New Roman" w:hAnsi="Times New Roman" w:eastAsia="仿宋_GB2312" w:cs="Times New Roman"/>
          <w:bCs/>
          <w:sz w:val="32"/>
          <w:szCs w:val="32"/>
        </w:rPr>
        <w:t>提升乡村CEO在乡村经营、集体经济管理、乡村数字化等领域的专业水平，培养具备实战能力和创新精神的乡村经营管理人才，推动本区和美乡村建设“三百”行动，促进乡村振兴战略实施</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（责任部门：委组人处、农村</w:t>
      </w:r>
      <w:r>
        <w:rPr>
          <w:rFonts w:ascii="Times New Roman" w:hAnsi="Times New Roman" w:eastAsia="仿宋_GB2312" w:cs="Times New Roman"/>
          <w:b/>
          <w:bCs/>
          <w:sz w:val="32"/>
          <w:szCs w:val="32"/>
        </w:rPr>
        <w:t>处、</w:t>
      </w:r>
      <w:r>
        <w:rPr>
          <w:rFonts w:hint="eastAsia" w:ascii="Times New Roman" w:hAnsi="Times New Roman" w:eastAsia="仿宋_GB2312" w:cs="Times New Roman"/>
          <w:b/>
          <w:bCs/>
          <w:sz w:val="32"/>
          <w:szCs w:val="32"/>
        </w:rPr>
        <w:t>集资处牵头，指导处、综合处、区农广校、农经站、各相关镇配合）</w:t>
      </w:r>
    </w:p>
    <w:p w14:paraId="315E78F9">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（二）培育智慧农业管理师50人</w:t>
      </w:r>
    </w:p>
    <w:p w14:paraId="08A79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0"/>
          <w14:ligatures w14:val="standardContextual"/>
        </w:rPr>
      </w:pPr>
      <w:r>
        <w:rPr>
          <w:rFonts w:hint="eastAsia" w:ascii="Times New Roman" w:hAnsi="Times New Roman" w:eastAsia="仿宋_GB2312" w:cs="Times New Roman"/>
          <w:sz w:val="32"/>
          <w:szCs w:val="30"/>
          <w14:ligatures w14:val="standardContextual"/>
        </w:rPr>
        <w:t>智慧</w:t>
      </w:r>
      <w:r>
        <w:rPr>
          <w:rFonts w:ascii="Times New Roman" w:hAnsi="Times New Roman" w:eastAsia="仿宋_GB2312" w:cs="Times New Roman"/>
          <w:sz w:val="32"/>
          <w:szCs w:val="30"/>
          <w14:ligatures w14:val="standardContextual"/>
        </w:rPr>
        <w:t>农业管理师</w:t>
      </w:r>
      <w:r>
        <w:rPr>
          <w:rFonts w:hint="eastAsia" w:ascii="Times New Roman" w:hAnsi="Times New Roman" w:eastAsia="仿宋_GB2312" w:cs="Times New Roman"/>
          <w:sz w:val="32"/>
          <w:szCs w:val="30"/>
          <w14:ligatures w14:val="standardContextual"/>
        </w:rPr>
        <w:t>服务于现代农业生产</w:t>
      </w:r>
      <w:r>
        <w:rPr>
          <w:rFonts w:hint="eastAsia" w:ascii="仿宋_GB2312" w:hAnsi="仿宋_GB2312" w:eastAsia="仿宋_GB2312" w:cs="仿宋_GB2312"/>
          <w:sz w:val="32"/>
          <w:szCs w:val="30"/>
        </w:rPr>
        <w:t>，</w:t>
      </w:r>
      <w:r>
        <w:rPr>
          <w:rFonts w:hint="eastAsia" w:ascii="Times New Roman" w:hAnsi="Times New Roman" w:eastAsia="仿宋_GB2312" w:cs="Times New Roman"/>
          <w:sz w:val="32"/>
          <w:szCs w:val="30"/>
          <w14:ligatures w14:val="standardContextual"/>
        </w:rPr>
        <w:t>负责水稻无人农场、智慧菜园、智慧果园等现代化、智能化生产基地的技术管理，工作职责包括制定生产计划、组织人员使用智慧化设施装备和技术进行农业生产、采集和分析数据实施数字化管理等。本项目计划针对从事现代设施农业项目运营、无人农场建设、农机社会化服务的规模型农业经营主体用人需求</w:t>
      </w:r>
      <w:r>
        <w:rPr>
          <w:rFonts w:hint="eastAsia" w:ascii="Times New Roman" w:hAnsi="Times New Roman" w:eastAsia="仿宋_GB2312" w:cs="Times New Roman"/>
          <w:sz w:val="32"/>
          <w:szCs w:val="30"/>
        </w:rPr>
        <w:t>，</w:t>
      </w:r>
      <w:r>
        <w:rPr>
          <w:rFonts w:hint="eastAsia" w:ascii="Times New Roman" w:hAnsi="Times New Roman" w:eastAsia="仿宋_GB2312" w:cs="Times New Roman"/>
          <w:sz w:val="32"/>
          <w:szCs w:val="30"/>
          <w14:ligatures w14:val="standardContextual"/>
        </w:rPr>
        <w:t>培养既</w:t>
      </w:r>
      <w:r>
        <w:rPr>
          <w:rFonts w:hint="eastAsia" w:ascii="仿宋_GB2312" w:hAnsi="仿宋_GB2312" w:eastAsia="仿宋_GB2312" w:cs="仿宋_GB2312"/>
          <w:sz w:val="32"/>
          <w:szCs w:val="30"/>
        </w:rPr>
        <w:t>懂农业专业知识又懂信息技术的复合型人才</w:t>
      </w:r>
      <w:r>
        <w:rPr>
          <w:rFonts w:hint="eastAsia" w:ascii="Times New Roman" w:hAnsi="Times New Roman" w:eastAsia="仿宋_GB2312" w:cs="Times New Roman"/>
          <w:sz w:val="32"/>
          <w:szCs w:val="30"/>
          <w14:ligatures w14:val="standardContextual"/>
        </w:rPr>
        <w:t>，助力全面实施“高科技数字农业支撑行动”，发展高质高效现代农业，保障粮食安全和菜篮子有效供给。</w:t>
      </w:r>
      <w:r>
        <w:rPr>
          <w:rFonts w:hint="eastAsia" w:ascii="Times New Roman" w:hAnsi="Times New Roman" w:eastAsia="仿宋_GB2312" w:cs="Times New Roman"/>
          <w:b/>
          <w:bCs/>
          <w:sz w:val="32"/>
          <w:szCs w:val="32"/>
        </w:rPr>
        <w:t>（责任部门：委组人处、农业处牵头，综合处、项目处、区农广校、农技中心、农业农村监管中心、农机站、各相关镇配合）</w:t>
      </w:r>
    </w:p>
    <w:p w14:paraId="4948D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28"/>
          <w:szCs w:val="30"/>
        </w:rPr>
      </w:pPr>
      <w:bookmarkStart w:id="0" w:name="_Hlk172064746"/>
      <w:r>
        <w:rPr>
          <w:rFonts w:hint="eastAsia" w:ascii="Times New Roman" w:hAnsi="Times New Roman" w:eastAsia="黑体" w:cs="Times New Roman"/>
          <w:sz w:val="32"/>
          <w:szCs w:val="30"/>
          <w14:ligatures w14:val="standardContextual"/>
        </w:rPr>
        <w:t>三</w:t>
      </w:r>
      <w:r>
        <w:rPr>
          <w:rFonts w:ascii="Times New Roman" w:hAnsi="Times New Roman" w:eastAsia="黑体" w:cs="Times New Roman"/>
          <w:sz w:val="32"/>
          <w:szCs w:val="30"/>
          <w14:ligatures w14:val="standardContextual"/>
        </w:rPr>
        <w:t>、</w:t>
      </w:r>
      <w:r>
        <w:rPr>
          <w:rFonts w:hint="eastAsia" w:ascii="Times New Roman" w:hAnsi="Times New Roman" w:eastAsia="黑体" w:cs="Times New Roman"/>
          <w:sz w:val="32"/>
          <w:szCs w:val="30"/>
          <w14:ligatures w14:val="standardContextual"/>
        </w:rPr>
        <w:t>组织实施</w:t>
      </w:r>
    </w:p>
    <w:bookmarkEnd w:id="0"/>
    <w:p w14:paraId="2EC3A50F">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 xml:space="preserve">（一）培育对象 </w:t>
      </w:r>
    </w:p>
    <w:p w14:paraId="16C3F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培育对象应满足从事本区乡村产业、发展势头良好、热衷联农带农的总体要求。优先考虑返乡大学生、农民工、退役军人、“头雁”、“农二代”等人群。乡村CEO重点针对村集体经济组织管理人员、强村公司管理人员等。智慧农业管理师重点针对具有农业知识基础，从事智慧农业技术管理的人员。</w:t>
      </w:r>
    </w:p>
    <w:p w14:paraId="22B12994">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（二）培育内容</w:t>
      </w:r>
    </w:p>
    <w:p w14:paraId="0DB7B5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楷体_GB2312" w:cs="Times New Roman"/>
          <w:b/>
          <w:bCs/>
          <w:sz w:val="32"/>
          <w:szCs w:val="32"/>
        </w:rPr>
        <w:t>1.乡村CEO。</w:t>
      </w:r>
      <w:r>
        <w:rPr>
          <w:rFonts w:hint="eastAsia" w:ascii="Times New Roman" w:hAnsi="Times New Roman" w:eastAsia="仿宋_GB2312" w:cs="Times New Roman"/>
          <w:sz w:val="32"/>
          <w:szCs w:val="32"/>
          <w14:ligatures w14:val="standardContextual"/>
        </w:rPr>
        <w:t>该职业</w:t>
      </w:r>
      <w:r>
        <w:rPr>
          <w:rFonts w:ascii="Times New Roman" w:hAnsi="Times New Roman" w:eastAsia="仿宋_GB2312" w:cs="Times New Roman"/>
          <w:sz w:val="32"/>
          <w:szCs w:val="32"/>
          <w14:ligatures w14:val="standardContextual"/>
        </w:rPr>
        <w:t>应当</w:t>
      </w:r>
      <w:r>
        <w:rPr>
          <w:rFonts w:hint="eastAsia" w:ascii="Times New Roman" w:hAnsi="Times New Roman" w:eastAsia="仿宋_GB2312" w:cs="Times New Roman"/>
          <w:sz w:val="32"/>
          <w:szCs w:val="32"/>
          <w14:ligatures w14:val="standardContextual"/>
        </w:rPr>
        <w:t>具备乡村经营、乡村资源开发、农业农村数字化等领域专业知识和能力。培训课程</w:t>
      </w:r>
      <w:r>
        <w:rPr>
          <w:rFonts w:ascii="Times New Roman" w:hAnsi="Times New Roman" w:eastAsia="仿宋_GB2312" w:cs="Times New Roman"/>
          <w:sz w:val="32"/>
          <w:szCs w:val="32"/>
          <w14:ligatures w14:val="standardContextual"/>
        </w:rPr>
        <w:t>包括</w:t>
      </w:r>
      <w:r>
        <w:rPr>
          <w:rFonts w:hint="eastAsia" w:ascii="Times New Roman" w:hAnsi="Times New Roman" w:eastAsia="仿宋_GB2312" w:cs="Times New Roman"/>
          <w:sz w:val="32"/>
          <w:szCs w:val="32"/>
          <w14:ligatures w14:val="standardContextual"/>
        </w:rPr>
        <w:t>村庄发展规划、农业产业布局、企业管理、市场营销与品牌建设、农村数字化管理等。理论课程结束后，还</w:t>
      </w:r>
      <w:r>
        <w:rPr>
          <w:rFonts w:ascii="Times New Roman" w:hAnsi="Times New Roman" w:eastAsia="仿宋_GB2312" w:cs="Times New Roman"/>
          <w:sz w:val="32"/>
          <w:szCs w:val="32"/>
          <w14:ligatures w14:val="standardContextual"/>
        </w:rPr>
        <w:t>将</w:t>
      </w:r>
      <w:r>
        <w:rPr>
          <w:rFonts w:hint="eastAsia" w:ascii="Times New Roman" w:hAnsi="Times New Roman" w:eastAsia="仿宋_GB2312" w:cs="Times New Roman"/>
          <w:sz w:val="32"/>
          <w:szCs w:val="32"/>
          <w14:ligatures w14:val="standardContextual"/>
        </w:rPr>
        <w:t>通过考察研学、基地实训、驻村实训、在线教学、互访学习等方式，促进学用贯通。</w:t>
      </w:r>
    </w:p>
    <w:p w14:paraId="08D6F7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楷体_GB2312" w:cs="Times New Roman"/>
          <w:b/>
          <w:bCs/>
          <w:sz w:val="32"/>
          <w:szCs w:val="32"/>
        </w:rPr>
        <w:t>2.智慧农业管理师</w:t>
      </w:r>
      <w:r>
        <w:rPr>
          <w:rFonts w:ascii="Times New Roman" w:hAnsi="Times New Roman" w:eastAsia="楷体_GB2312" w:cs="Times New Roman"/>
          <w:b/>
          <w:bCs/>
          <w:sz w:val="32"/>
          <w:szCs w:val="32"/>
        </w:rPr>
        <w:t>。</w:t>
      </w:r>
      <w:r>
        <w:rPr>
          <w:rFonts w:hint="eastAsia" w:ascii="Times New Roman" w:hAnsi="Times New Roman" w:eastAsia="仿宋_GB2312" w:cs="Times New Roman"/>
          <w:sz w:val="32"/>
          <w:szCs w:val="32"/>
          <w14:ligatures w14:val="standardContextual"/>
        </w:rPr>
        <w:t>该职业需要具备扎实的农业知识和信息技术技能。培训课程包括智慧农业基础知识、农业装备智能化技术、农业大数据的采集与分析应用、智慧农业装备常见故障排除、农作物病虫害智能化监测预报、主要作物生长环境调控等。</w:t>
      </w:r>
    </w:p>
    <w:p w14:paraId="4930C8EB">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（三）培育方式</w:t>
      </w:r>
    </w:p>
    <w:p w14:paraId="55AD3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分析就业岗位应当具备的素质能力要求，以培育对象熟练掌握和运用相关知识技能为标准，选用适宜的培育场景。探索培育主体与用人主体联合培养等产教融合培育方式。</w:t>
      </w:r>
    </w:p>
    <w:p w14:paraId="666791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b/>
          <w:bCs/>
          <w:sz w:val="32"/>
          <w:szCs w:val="32"/>
          <w14:ligatures w14:val="standardContextual"/>
        </w:rPr>
        <w:t>1.强化课堂教学。</w:t>
      </w:r>
      <w:r>
        <w:rPr>
          <w:rFonts w:hint="eastAsia" w:ascii="Times New Roman" w:hAnsi="Times New Roman" w:eastAsia="仿宋_GB2312" w:cs="Times New Roman"/>
          <w:sz w:val="32"/>
          <w:szCs w:val="32"/>
          <w14:ligatures w14:val="standardContextual"/>
        </w:rPr>
        <w:t>由实践经验丰富的领导、专家、企业精英等组成师资团队。实施参与式</w:t>
      </w:r>
      <w:r>
        <w:rPr>
          <w:rFonts w:ascii="Times New Roman" w:hAnsi="Times New Roman" w:eastAsia="仿宋_GB2312" w:cs="Times New Roman"/>
          <w:sz w:val="32"/>
          <w:szCs w:val="32"/>
          <w14:ligatures w14:val="standardContextual"/>
        </w:rPr>
        <w:t>、互动式、启发式培训，让学员充分参与到培训中，主动构建知识技能。</w:t>
      </w:r>
    </w:p>
    <w:p w14:paraId="322744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14:ligatures w14:val="standardContextual"/>
        </w:rPr>
      </w:pPr>
      <w:r>
        <w:rPr>
          <w:rFonts w:ascii="Times New Roman" w:hAnsi="Times New Roman" w:eastAsia="仿宋_GB2312" w:cs="Times New Roman"/>
          <w:b/>
          <w:bCs/>
          <w:sz w:val="32"/>
          <w:szCs w:val="32"/>
          <w14:ligatures w14:val="standardContextual"/>
        </w:rPr>
        <w:t>2</w:t>
      </w:r>
      <w:r>
        <w:rPr>
          <w:rFonts w:hint="eastAsia" w:ascii="Times New Roman" w:hAnsi="Times New Roman" w:eastAsia="仿宋_GB2312" w:cs="Times New Roman"/>
          <w:b/>
          <w:bCs/>
          <w:sz w:val="32"/>
          <w:szCs w:val="32"/>
          <w14:ligatures w14:val="standardContextual"/>
        </w:rPr>
        <w:t>.突出实训实践</w:t>
      </w:r>
      <w:r>
        <w:rPr>
          <w:rFonts w:hint="eastAsia" w:ascii="Times New Roman" w:hAnsi="Times New Roman" w:eastAsia="仿宋_GB2312" w:cs="Times New Roman"/>
          <w:sz w:val="32"/>
          <w:szCs w:val="32"/>
          <w14:ligatures w14:val="standardContextual"/>
        </w:rPr>
        <w:t>。依托市内外重点地区优势企业，搭建能实战教学的培训场景，采取现场观摩、实训操作、顶岗实习、师傅带徒、导师指导等方式，促进学用贯通。</w:t>
      </w:r>
    </w:p>
    <w:p w14:paraId="57A17D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color w:val="FF0000"/>
          <w:sz w:val="32"/>
          <w:szCs w:val="32"/>
          <w14:ligatures w14:val="standardContextual"/>
        </w:rPr>
      </w:pPr>
      <w:r>
        <w:rPr>
          <w:rFonts w:hint="eastAsia" w:ascii="Times New Roman" w:hAnsi="Times New Roman" w:eastAsia="仿宋_GB2312" w:cs="Times New Roman"/>
          <w:b/>
          <w:bCs/>
          <w:sz w:val="32"/>
          <w:szCs w:val="32"/>
          <w14:ligatures w14:val="standardContextual"/>
        </w:rPr>
        <w:t>3.探索联合培养。</w:t>
      </w:r>
      <w:r>
        <w:rPr>
          <w:rFonts w:hint="eastAsia" w:ascii="Times New Roman" w:hAnsi="Times New Roman" w:eastAsia="仿宋_GB2312" w:cs="Times New Roman"/>
          <w:bCs/>
          <w:sz w:val="32"/>
          <w:szCs w:val="32"/>
          <w14:ligatures w14:val="standardContextual"/>
        </w:rPr>
        <w:t>摸清</w:t>
      </w:r>
      <w:r>
        <w:rPr>
          <w:rFonts w:ascii="Times New Roman" w:hAnsi="Times New Roman" w:eastAsia="仿宋_GB2312" w:cs="Times New Roman"/>
          <w:bCs/>
          <w:sz w:val="32"/>
          <w:szCs w:val="32"/>
          <w14:ligatures w14:val="standardContextual"/>
        </w:rPr>
        <w:t>乡村CEO、智慧农业管理师</w:t>
      </w:r>
      <w:r>
        <w:rPr>
          <w:rFonts w:hint="eastAsia" w:ascii="Times New Roman" w:hAnsi="Times New Roman" w:eastAsia="仿宋_GB2312" w:cs="Times New Roman"/>
          <w:bCs/>
          <w:sz w:val="32"/>
          <w:szCs w:val="32"/>
          <w14:ligatures w14:val="standardContextual"/>
        </w:rPr>
        <w:t>岗位</w:t>
      </w:r>
      <w:r>
        <w:rPr>
          <w:rFonts w:ascii="Times New Roman" w:hAnsi="Times New Roman" w:eastAsia="仿宋_GB2312" w:cs="Times New Roman"/>
          <w:bCs/>
          <w:sz w:val="32"/>
          <w:szCs w:val="32"/>
          <w14:ligatures w14:val="standardContextual"/>
        </w:rPr>
        <w:t>需求，</w:t>
      </w:r>
      <w:r>
        <w:rPr>
          <w:rFonts w:hint="eastAsia" w:ascii="Times New Roman" w:hAnsi="Times New Roman" w:eastAsia="仿宋_GB2312" w:cs="Times New Roman"/>
          <w:bCs/>
          <w:sz w:val="32"/>
          <w:szCs w:val="32"/>
          <w14:ligatures w14:val="standardContextual"/>
        </w:rPr>
        <w:t>由区农广校和</w:t>
      </w:r>
      <w:r>
        <w:rPr>
          <w:rFonts w:ascii="Times New Roman" w:hAnsi="Times New Roman" w:eastAsia="仿宋_GB2312" w:cs="Times New Roman"/>
          <w:bCs/>
          <w:sz w:val="32"/>
          <w:szCs w:val="32"/>
          <w14:ligatures w14:val="standardContextual"/>
        </w:rPr>
        <w:t>村集体经济组织以及强村公司</w:t>
      </w:r>
      <w:r>
        <w:rPr>
          <w:rFonts w:hint="eastAsia" w:ascii="Times New Roman" w:hAnsi="Times New Roman" w:eastAsia="仿宋_GB2312" w:cs="Times New Roman"/>
          <w:bCs/>
          <w:sz w:val="32"/>
          <w:szCs w:val="32"/>
          <w14:ligatures w14:val="standardContextual"/>
        </w:rPr>
        <w:t>、现代</w:t>
      </w:r>
      <w:r>
        <w:rPr>
          <w:rFonts w:ascii="Times New Roman" w:hAnsi="Times New Roman" w:eastAsia="仿宋_GB2312" w:cs="Times New Roman"/>
          <w:bCs/>
          <w:sz w:val="32"/>
          <w:szCs w:val="32"/>
          <w14:ligatures w14:val="standardContextual"/>
        </w:rPr>
        <w:t>农业企业</w:t>
      </w:r>
      <w:r>
        <w:rPr>
          <w:rFonts w:hint="eastAsia" w:ascii="Times New Roman" w:hAnsi="Times New Roman" w:eastAsia="仿宋_GB2312" w:cs="Times New Roman"/>
          <w:bCs/>
          <w:sz w:val="32"/>
          <w:szCs w:val="32"/>
          <w14:ligatures w14:val="standardContextual"/>
        </w:rPr>
        <w:t>签订联合培养协议。在课程开发、实训实践等方面进行合作，共同培养符合行业</w:t>
      </w:r>
      <w:r>
        <w:rPr>
          <w:rFonts w:ascii="Times New Roman" w:hAnsi="Times New Roman" w:eastAsia="仿宋_GB2312" w:cs="Times New Roman"/>
          <w:bCs/>
          <w:sz w:val="32"/>
          <w:szCs w:val="32"/>
          <w14:ligatures w14:val="standardContextual"/>
        </w:rPr>
        <w:t>和</w:t>
      </w:r>
      <w:r>
        <w:rPr>
          <w:rFonts w:hint="eastAsia" w:ascii="Times New Roman" w:hAnsi="Times New Roman" w:eastAsia="仿宋_GB2312" w:cs="Times New Roman"/>
          <w:bCs/>
          <w:sz w:val="32"/>
          <w:szCs w:val="32"/>
          <w14:ligatures w14:val="standardContextual"/>
        </w:rPr>
        <w:t>岗位需求的人才。</w:t>
      </w:r>
    </w:p>
    <w:p w14:paraId="2F4FB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14:ligatures w14:val="standardContextual"/>
        </w:rPr>
      </w:pPr>
      <w:r>
        <w:rPr>
          <w:rFonts w:ascii="Times New Roman" w:hAnsi="Times New Roman" w:eastAsia="仿宋_GB2312" w:cs="Times New Roman"/>
          <w:b/>
          <w:sz w:val="32"/>
          <w:szCs w:val="32"/>
          <w14:ligatures w14:val="standardContextual"/>
        </w:rPr>
        <w:t>4.</w:t>
      </w:r>
      <w:r>
        <w:rPr>
          <w:rFonts w:hint="eastAsia" w:ascii="Times New Roman" w:hAnsi="Times New Roman" w:eastAsia="仿宋_GB2312" w:cs="Times New Roman"/>
          <w:b/>
          <w:sz w:val="32"/>
          <w:szCs w:val="32"/>
          <w14:ligatures w14:val="standardContextual"/>
        </w:rPr>
        <w:t>评价培育</w:t>
      </w:r>
      <w:r>
        <w:rPr>
          <w:rFonts w:ascii="Times New Roman" w:hAnsi="Times New Roman" w:eastAsia="仿宋_GB2312" w:cs="Times New Roman"/>
          <w:b/>
          <w:sz w:val="32"/>
          <w:szCs w:val="32"/>
          <w14:ligatures w14:val="standardContextual"/>
        </w:rPr>
        <w:t>效果</w:t>
      </w:r>
      <w:r>
        <w:rPr>
          <w:rFonts w:hint="eastAsia" w:ascii="Times New Roman" w:hAnsi="Times New Roman" w:eastAsia="仿宋_GB2312" w:cs="Times New Roman"/>
          <w:b/>
          <w:sz w:val="32"/>
          <w:szCs w:val="32"/>
          <w14:ligatures w14:val="standardContextual"/>
        </w:rPr>
        <w:t>。</w:t>
      </w:r>
      <w:r>
        <w:rPr>
          <w:rFonts w:hint="eastAsia" w:ascii="Times New Roman" w:hAnsi="Times New Roman" w:eastAsia="仿宋_GB2312" w:cs="Times New Roman"/>
          <w:sz w:val="32"/>
          <w:szCs w:val="32"/>
          <w14:ligatures w14:val="standardContextual"/>
        </w:rPr>
        <w:t>通过过程评价、撰写企划书、结业答辩、技能比武等形式</w:t>
      </w:r>
      <w:r>
        <w:rPr>
          <w:rFonts w:ascii="Times New Roman" w:hAnsi="Times New Roman" w:eastAsia="仿宋_GB2312" w:cs="Times New Roman"/>
          <w:sz w:val="32"/>
          <w:szCs w:val="32"/>
          <w14:ligatures w14:val="standardContextual"/>
        </w:rPr>
        <w:t>，</w:t>
      </w:r>
      <w:r>
        <w:rPr>
          <w:rFonts w:hint="eastAsia" w:ascii="Times New Roman" w:hAnsi="Times New Roman" w:eastAsia="仿宋_GB2312" w:cs="Times New Roman"/>
          <w:sz w:val="32"/>
          <w:szCs w:val="32"/>
          <w14:ligatures w14:val="standardContextual"/>
        </w:rPr>
        <w:t>把控培育质量效果。</w:t>
      </w:r>
    </w:p>
    <w:p w14:paraId="356D564C">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（四）进度计划</w:t>
      </w:r>
    </w:p>
    <w:p w14:paraId="3EB9F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按照农业农村部“集中培训需在今年完成，贯通需于今年启动”的要求，计划8月完成培训筹备及招生，10月完成课堂教学，12月完成现场观摩学习，并启动顶岗实习，明年10月完成岗位锻炼、考核评价和项目评估总结。</w:t>
      </w:r>
    </w:p>
    <w:p w14:paraId="1E11FED4">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（五）经费支出</w:t>
      </w:r>
    </w:p>
    <w:p w14:paraId="26313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14:ligatures w14:val="standardContextual"/>
        </w:rPr>
      </w:pPr>
      <w:r>
        <w:rPr>
          <w:rFonts w:hint="eastAsia" w:ascii="Times New Roman" w:hAnsi="Times New Roman" w:eastAsia="仿宋_GB2312" w:cs="Times New Roman"/>
          <w:sz w:val="32"/>
          <w:szCs w:val="32"/>
          <w14:ligatures w14:val="standardContextual"/>
        </w:rPr>
        <w:t>项目</w:t>
      </w:r>
      <w:r>
        <w:rPr>
          <w:rFonts w:hint="eastAsia" w:ascii="Times New Roman" w:hAnsi="Times New Roman" w:eastAsia="仿宋_GB2312" w:cs="Times New Roman"/>
          <w:sz w:val="32"/>
          <w:szCs w:val="32"/>
          <w:lang w:eastAsia="zh-CN"/>
          <w14:ligatures w14:val="standardContextual"/>
        </w:rPr>
        <w:t>经费</w:t>
      </w:r>
      <w:r>
        <w:rPr>
          <w:rFonts w:hint="eastAsia" w:ascii="Times New Roman" w:hAnsi="Times New Roman" w:eastAsia="仿宋_GB2312" w:cs="Times New Roman"/>
          <w:sz w:val="32"/>
          <w:szCs w:val="32"/>
          <w14:ligatures w14:val="standardContextual"/>
        </w:rPr>
        <w:t>由中央财政资金保障</w:t>
      </w:r>
      <w:r>
        <w:rPr>
          <w:rFonts w:hint="eastAsia" w:ascii="Times New Roman" w:hAnsi="Times New Roman" w:eastAsia="仿宋_GB2312" w:cs="Times New Roman"/>
          <w:sz w:val="32"/>
          <w:szCs w:val="32"/>
          <w:lang w:eastAsia="zh-CN"/>
          <w14:ligatures w14:val="standardContextual"/>
        </w:rPr>
        <w:t>，参训人员免费培训。</w:t>
      </w:r>
    </w:p>
    <w:p w14:paraId="29F3D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14:ligatures w14:val="standardContextual"/>
        </w:rPr>
      </w:pPr>
      <w:r>
        <w:rPr>
          <w:rFonts w:hint="eastAsia" w:ascii="Times New Roman" w:hAnsi="Times New Roman" w:eastAsia="黑体" w:cs="Times New Roman"/>
          <w:sz w:val="32"/>
          <w:szCs w:val="32"/>
          <w14:ligatures w14:val="standardContextual"/>
        </w:rPr>
        <w:t>四</w:t>
      </w:r>
      <w:r>
        <w:rPr>
          <w:rFonts w:ascii="Times New Roman" w:hAnsi="Times New Roman" w:eastAsia="黑体" w:cs="Times New Roman"/>
          <w:sz w:val="32"/>
          <w:szCs w:val="32"/>
          <w14:ligatures w14:val="standardContextual"/>
        </w:rPr>
        <w:t>、</w:t>
      </w:r>
      <w:r>
        <w:rPr>
          <w:rFonts w:hint="eastAsia" w:ascii="Times New Roman" w:hAnsi="Times New Roman" w:eastAsia="黑体" w:cs="Times New Roman"/>
          <w:sz w:val="32"/>
          <w:szCs w:val="32"/>
          <w14:ligatures w14:val="standardContextual"/>
        </w:rPr>
        <w:t>保障措施</w:t>
      </w:r>
    </w:p>
    <w:p w14:paraId="7E5649A9">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（一）加强组织领导</w:t>
      </w:r>
    </w:p>
    <w:p w14:paraId="467B8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试点项目由区农业农村与区财政牵头组织，负责试点工作的安排部署、统筹指导、协调落实和督导检查，监督培育资金使用。区农广校负责试点项目的日常管理、质量跟踪、成果提炼、宣传推介等工作。争取组织、教育、科技、妇联、共青团等部门支持与协作</w:t>
      </w:r>
      <w:r>
        <w:rPr>
          <w:rFonts w:ascii="Times New Roman" w:hAnsi="Times New Roman" w:eastAsia="仿宋_GB2312" w:cs="Times New Roman"/>
          <w:sz w:val="32"/>
          <w:szCs w:val="32"/>
          <w14:ligatures w14:val="standardContextual"/>
        </w:rPr>
        <w:t>。</w:t>
      </w:r>
      <w:r>
        <w:rPr>
          <w:rFonts w:hint="eastAsia" w:ascii="Times New Roman" w:hAnsi="Times New Roman" w:eastAsia="仿宋_GB2312" w:cs="Times New Roman"/>
          <w:sz w:val="32"/>
          <w:szCs w:val="32"/>
          <w14:ligatures w14:val="standardContextual"/>
        </w:rPr>
        <w:t>整合农业农村系统资源，有序推进项目实施。</w:t>
      </w:r>
    </w:p>
    <w:p w14:paraId="176B84F4">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（二）</w:t>
      </w:r>
      <w:bookmarkStart w:id="1" w:name="_Hlk172102429"/>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加强政策支持</w:t>
      </w:r>
    </w:p>
    <w:p w14:paraId="470C6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争取配套资金和政策支持，高质高效完成试点项目，</w:t>
      </w:r>
      <w:r>
        <w:rPr>
          <w:rFonts w:hint="eastAsia" w:ascii="仿宋" w:hAnsi="仿宋" w:eastAsia="仿宋" w:cs="仿宋"/>
          <w:sz w:val="32"/>
          <w:szCs w:val="32"/>
        </w:rPr>
        <w:t>创新探索乡村人才培养新路径新模式</w:t>
      </w:r>
      <w:r>
        <w:rPr>
          <w:rFonts w:hint="eastAsia" w:ascii="Times New Roman" w:hAnsi="Times New Roman" w:eastAsia="仿宋_GB2312" w:cs="Times New Roman"/>
          <w:sz w:val="32"/>
          <w:szCs w:val="32"/>
          <w14:ligatures w14:val="standardContextual"/>
        </w:rPr>
        <w:t>。用足用好《浦东新区关于促进现代农业人才发展的实施意见》、《浦东新区关于建立健全农村集体经济经营管理人员激励机制的指导意见（试行）》等政策，探索出台配套政策，构建乡村CEO、智慧农业管理师等人才引进、培养、使用机制。</w:t>
      </w:r>
    </w:p>
    <w:p w14:paraId="10EFB337">
      <w:pPr>
        <w:keepNext w:val="0"/>
        <w:keepLines w:val="0"/>
        <w:pageBreakBefore w:val="0"/>
        <w:widowControl w:val="0"/>
        <w:numPr>
          <w:ilvl w:val="0"/>
          <w:numId w:val="0"/>
        </w:numPr>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left="640" w:leftChars="0" w:right="0" w:rightChars="0" w:firstLine="0" w:firstLineChars="0"/>
        <w:jc w:val="both"/>
        <w:textAlignment w:val="auto"/>
        <w:rPr>
          <w:rFonts w:hint="eastAsia" w:ascii="仿宋_GB2312" w:hAnsi="仿宋_GB2312" w:eastAsia="仿宋_GB2312" w:cs="仿宋_GB2312"/>
          <w:b/>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（三）加强宣传总结</w:t>
      </w:r>
    </w:p>
    <w:p w14:paraId="1221B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14:ligatures w14:val="standardContextual"/>
        </w:rPr>
      </w:pPr>
      <w:r>
        <w:rPr>
          <w:rFonts w:hint="eastAsia" w:ascii="Times New Roman" w:hAnsi="Times New Roman" w:eastAsia="仿宋_GB2312" w:cs="Times New Roman"/>
          <w:sz w:val="32"/>
          <w:szCs w:val="32"/>
          <w14:ligatures w14:val="standardContextual"/>
        </w:rPr>
        <w:t>及时挖掘和宣传典型案例</w:t>
      </w:r>
      <w:bookmarkEnd w:id="1"/>
      <w:r>
        <w:rPr>
          <w:rFonts w:hint="eastAsia" w:ascii="Times New Roman" w:hAnsi="Times New Roman" w:eastAsia="仿宋_GB2312" w:cs="Times New Roman"/>
          <w:sz w:val="32"/>
          <w:szCs w:val="32"/>
          <w14:ligatures w14:val="standardContextual"/>
        </w:rPr>
        <w:t>、经验做法，总结形成可学习、可借鉴、可推广的培育模式。遴选推介优秀学员、优秀教师、优秀工作者。充分利用广播、电视、报刊等传统媒体以及公众号、短视频等新媒体平台，加大宣传力度，营造政府重视、部门支持、社会关注、农民满意的良好氛围。</w:t>
      </w:r>
    </w:p>
    <w:p w14:paraId="5746BD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WZiMTdlMDcxOWM0ZGZjODY2MzY0Mzk0OWI2ZWYifQ=="/>
  </w:docVars>
  <w:rsids>
    <w:rsidRoot w:val="69491151"/>
    <w:rsid w:val="6949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2024-11-01T07:21:00Z</dcterms:created>
  <dc:creator>Jane</dc:creator>
  <cp:lastModifiedBy>Jane</cp:lastModifiedBy>
  <dcterms:modified xsi:type="dcterms:W3CDTF">2024-11-01T07:21:46Z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8F59BF74A93E467A8D4BFEC9DDD47184_11</vt:lpwstr>
  </property>
</Properties>
</file>