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hint="eastAsia" w:ascii="黑体" w:eastAsia="黑体"/>
          <w:kern w:val="2"/>
          <w:szCs w:val="32"/>
        </w:rPr>
      </w:pPr>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100" w:lineRule="exact"/>
        <w:rPr>
          <w:rFonts w:hint="eastAsia" w:ascii="黑体" w:eastAsia="黑体"/>
          <w:kern w:val="2"/>
          <w:szCs w:val="32"/>
        </w:rPr>
      </w:pPr>
    </w:p>
    <w:p>
      <w:pPr>
        <w:overflowPunct w:val="0"/>
        <w:adjustRightInd w:val="0"/>
        <w:snapToGrid w:val="0"/>
        <w:ind w:left="-57"/>
        <w:jc w:val="center"/>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336" w:lineRule="auto"/>
        <w:rPr>
          <w:rFonts w:hint="eastAsia"/>
          <w:kern w:val="2"/>
          <w:szCs w:val="32"/>
        </w:rPr>
      </w:pPr>
      <w:r>
        <w:rPr>
          <w:rFonts w:hint="eastAsia"/>
          <w:kern w:val="2"/>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iA6CwNQAAAAGAQAADwAAAAAAAAABACAAAAA4AAAAZHJzL2Rvd25yZXYueG1sUEsBAhQA&#10;FAAAAAgAh07iQJKL3sngAQAAmgMAAA4AAAAAAAAAAQAgAAAAOQEAAGRycy9lMm9Eb2MueG1sUEsF&#10;BgAAAAAGAAYAWQEAAIsFAAAAAA==&#10;">
                <v:fill on="f" focussize="0,0"/>
                <v:stroke weight="1.5pt" color="#FF0000" joinstyle="round"/>
                <v:imagedata o:title=""/>
                <o:lock v:ext="edit" aspectratio="f"/>
                <w10:anchorlock/>
              </v:line>
            </w:pict>
          </mc:Fallback>
        </mc:AlternateContent>
      </w:r>
      <w:r>
        <w:rPr>
          <w:rFonts w:hint="eastAsia"/>
          <w:kern w:val="2"/>
          <w:szCs w:val="32"/>
        </w:rPr>
        <w:t>　沪市监</w:t>
      </w:r>
      <w:r>
        <w:rPr>
          <w:rFonts w:hint="eastAsia"/>
          <w:kern w:val="2"/>
          <w:szCs w:val="32"/>
          <w:lang w:eastAsia="zh-CN"/>
        </w:rPr>
        <w:t>法规</w:t>
      </w:r>
      <w:r>
        <w:rPr>
          <w:rFonts w:hint="eastAsia"/>
          <w:kern w:val="2"/>
          <w:szCs w:val="32"/>
        </w:rPr>
        <w:t>〔202</w:t>
      </w:r>
      <w:r>
        <w:rPr>
          <w:rFonts w:hint="default"/>
          <w:kern w:val="2"/>
          <w:szCs w:val="32"/>
          <w:lang w:val="en"/>
        </w:rPr>
        <w:t>4</w:t>
      </w:r>
      <w:r>
        <w:rPr>
          <w:rFonts w:hint="eastAsia"/>
          <w:kern w:val="2"/>
          <w:szCs w:val="32"/>
        </w:rPr>
        <w:t>〕</w:t>
      </w:r>
      <w:r>
        <w:rPr>
          <w:rFonts w:hint="default"/>
          <w:kern w:val="2"/>
          <w:szCs w:val="32"/>
          <w:lang w:val="en"/>
        </w:rPr>
        <w:t>540</w:t>
      </w:r>
      <w:r>
        <w:rPr>
          <w:rFonts w:hint="eastAsia"/>
          <w:kern w:val="2"/>
          <w:szCs w:val="32"/>
        </w:rPr>
        <w:t>号</w:t>
      </w:r>
      <w:r>
        <w:rPr>
          <w:rFonts w:hint="eastAsia"/>
          <w:spacing w:val="2"/>
          <w:kern w:val="2"/>
          <w:sz w:val="32"/>
          <w:szCs w:val="32"/>
        </w:rPr>
        <w:t xml:space="preserve">              </w:t>
      </w:r>
      <w:r>
        <w:rPr>
          <w:rFonts w:hint="eastAsia"/>
          <w:kern w:val="2"/>
          <w:szCs w:val="32"/>
        </w:rPr>
        <w:t>签发人：</w:t>
      </w:r>
      <w:r>
        <w:rPr>
          <w:rFonts w:hint="eastAsia" w:ascii="楷体_GB2312" w:eastAsia="楷体_GB2312"/>
          <w:kern w:val="2"/>
          <w:szCs w:val="32"/>
          <w:lang w:eastAsia="zh-CN"/>
        </w:rPr>
        <w:t>倪俊南</w:t>
      </w:r>
      <w:r>
        <w:rPr>
          <w:rFonts w:hint="eastAsia"/>
          <w:kern w:val="2"/>
          <w:szCs w:val="32"/>
        </w:rPr>
        <w:t>　</w:t>
      </w:r>
    </w:p>
    <w:p>
      <w:pPr>
        <w:tabs>
          <w:tab w:val="left" w:pos="790"/>
        </w:tabs>
        <w:overflowPunct w:val="0"/>
        <w:adjustRightInd w:val="0"/>
        <w:snapToGrid w:val="0"/>
        <w:spacing w:line="336" w:lineRule="auto"/>
        <w:jc w:val="center"/>
        <w:rPr>
          <w:rFonts w:hint="eastAsia"/>
          <w:kern w:val="2"/>
          <w:szCs w:val="30"/>
        </w:rPr>
      </w:pPr>
    </w:p>
    <w:p>
      <w:pPr>
        <w:tabs>
          <w:tab w:val="left" w:pos="790"/>
        </w:tabs>
        <w:overflowPunct w:val="0"/>
        <w:adjustRightInd w:val="0"/>
        <w:snapToGrid w:val="0"/>
        <w:spacing w:line="336" w:lineRule="auto"/>
        <w:jc w:val="center"/>
        <w:rPr>
          <w:rFonts w:hint="eastAsia"/>
          <w:kern w:val="2"/>
          <w:szCs w:val="30"/>
        </w:rPr>
      </w:pPr>
    </w:p>
    <w:p>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上海市市场监督管理局关于</w:t>
      </w:r>
    </w:p>
    <w:p>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202</w:t>
      </w:r>
      <w:r>
        <w:rPr>
          <w:rFonts w:hint="eastAsia" w:ascii="方正小标宋简体" w:hAnsi="宋体" w:eastAsia="方正小标宋简体"/>
          <w:kern w:val="2"/>
          <w:sz w:val="44"/>
          <w:szCs w:val="44"/>
          <w:lang w:val="en"/>
        </w:rPr>
        <w:t>4</w:t>
      </w:r>
      <w:r>
        <w:rPr>
          <w:rFonts w:hint="eastAsia" w:ascii="方正小标宋简体" w:hAnsi="宋体" w:eastAsia="方正小标宋简体"/>
          <w:kern w:val="2"/>
          <w:sz w:val="44"/>
          <w:szCs w:val="44"/>
        </w:rPr>
        <w:t>年度法治政府建设情况的报告</w:t>
      </w: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rPr>
          <w:rFonts w:hint="eastAsia" w:hAnsi="宋体"/>
          <w:kern w:val="2"/>
          <w:szCs w:val="30"/>
        </w:rPr>
      </w:pPr>
      <w:r>
        <w:rPr>
          <w:rFonts w:hint="eastAsia" w:hAnsi="宋体"/>
          <w:kern w:val="2"/>
          <w:szCs w:val="30"/>
        </w:rPr>
        <w:t>市委</w:t>
      </w:r>
      <w:r>
        <w:rPr>
          <w:rFonts w:hint="eastAsia" w:hAnsi="宋体"/>
          <w:kern w:val="2"/>
          <w:szCs w:val="30"/>
          <w:lang w:eastAsia="zh-CN"/>
        </w:rPr>
        <w:t>，</w:t>
      </w:r>
      <w:r>
        <w:rPr>
          <w:rFonts w:hint="eastAsia" w:hAnsi="宋体"/>
          <w:kern w:val="2"/>
          <w:szCs w:val="30"/>
        </w:rPr>
        <w:t>市政府</w:t>
      </w:r>
      <w:r>
        <w:rPr>
          <w:rFonts w:hint="eastAsia" w:hAnsi="宋体"/>
          <w:kern w:val="2"/>
          <w:szCs w:val="30"/>
          <w:lang w:eastAsia="zh-CN"/>
        </w:rPr>
        <w:t>，</w:t>
      </w:r>
      <w:r>
        <w:rPr>
          <w:rFonts w:hint="eastAsia" w:hAnsi="宋体"/>
          <w:kern w:val="2"/>
          <w:szCs w:val="30"/>
        </w:rPr>
        <w:t>市场监管总局：</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202</w:t>
      </w:r>
      <w:r>
        <w:rPr>
          <w:rFonts w:hint="eastAsia" w:hAnsi="宋体"/>
          <w:kern w:val="2"/>
          <w:szCs w:val="30"/>
          <w:lang w:val="en"/>
        </w:rPr>
        <w:t>4</w:t>
      </w:r>
      <w:r>
        <w:rPr>
          <w:rFonts w:hint="eastAsia" w:hAnsi="宋体"/>
          <w:kern w:val="2"/>
          <w:szCs w:val="30"/>
        </w:rPr>
        <w:t>年，根据市委、市政府、市场监管总局的部署，上海市市场监督管理局（以下简称“</w:t>
      </w:r>
      <w:r>
        <w:rPr>
          <w:rFonts w:hint="eastAsia" w:hAnsi="宋体"/>
          <w:kern w:val="2"/>
          <w:szCs w:val="30"/>
          <w:lang w:eastAsia="zh-CN"/>
        </w:rPr>
        <w:t>市市场监管局</w:t>
      </w:r>
      <w:r>
        <w:rPr>
          <w:rFonts w:hint="eastAsia" w:hAnsi="宋体"/>
          <w:kern w:val="2"/>
          <w:szCs w:val="30"/>
        </w:rPr>
        <w:t>”）深入学习宣传贯彻习近平法治思想，围绕贯彻落实《法治政府建设实施纲要（2021—2025年）》《上海法治政府建设规划（2021—2025年）》，结合市场监管工作实际，严格依法行政，法治建设有序有效。现将有关工作情况报告如下：</w:t>
      </w:r>
    </w:p>
    <w:p>
      <w:pPr>
        <w:tabs>
          <w:tab w:val="left" w:pos="790"/>
          <w:tab w:val="left" w:pos="1264"/>
        </w:tabs>
        <w:overflowPunct w:val="0"/>
        <w:adjustRightInd w:val="0"/>
        <w:snapToGrid w:val="0"/>
        <w:spacing w:line="336" w:lineRule="auto"/>
        <w:ind w:firstLine="624"/>
        <w:rPr>
          <w:rFonts w:hint="eastAsia" w:ascii="黑体" w:hAnsi="黑体" w:eastAsia="黑体" w:cs="黑体"/>
          <w:kern w:val="2"/>
          <w:szCs w:val="30"/>
          <w:lang w:eastAsia="zh-CN"/>
        </w:rPr>
      </w:pPr>
      <w:r>
        <w:rPr>
          <w:rFonts w:hint="eastAsia" w:ascii="黑体" w:hAnsi="黑体" w:eastAsia="黑体" w:cs="黑体"/>
          <w:kern w:val="2"/>
          <w:szCs w:val="30"/>
          <w:lang w:eastAsia="zh-CN"/>
        </w:rPr>
        <w:t>一、主要举措和成效</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市场监管系统法律规范体系逐步完善，规范公正文明执法能力持续提升，服务改革发展大局能力不断提高，法治保障体系更加健全，法治市场监管建设成果丰硕。</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lang w:eastAsia="zh-CN"/>
        </w:rPr>
        <w:t>市市场监管局</w:t>
      </w:r>
      <w:r>
        <w:rPr>
          <w:rFonts w:hint="eastAsia" w:hAnsi="宋体"/>
          <w:kern w:val="2"/>
          <w:szCs w:val="30"/>
        </w:rPr>
        <w:t>在上海市高频政务服务“智慧好办”应用展评中荣获全市第一</w:t>
      </w:r>
      <w:r>
        <w:rPr>
          <w:rFonts w:hint="eastAsia" w:hAnsi="宋体"/>
          <w:kern w:val="2"/>
          <w:szCs w:val="30"/>
          <w:lang w:eastAsia="zh-CN"/>
        </w:rPr>
        <w:t>，</w:t>
      </w:r>
      <w:r>
        <w:rPr>
          <w:rFonts w:hint="eastAsia" w:hAnsi="宋体"/>
          <w:kern w:val="2"/>
          <w:szCs w:val="30"/>
        </w:rPr>
        <w:t>获评“申城金服</w:t>
      </w:r>
      <w:r>
        <w:rPr>
          <w:rFonts w:hint="eastAsia" w:hAnsi="宋体"/>
          <w:kern w:val="2"/>
          <w:szCs w:val="30"/>
          <w:lang w:eastAsia="zh-CN"/>
        </w:rPr>
        <w:t>——</w:t>
      </w:r>
      <w:r>
        <w:rPr>
          <w:rFonts w:hint="eastAsia" w:hAnsi="宋体"/>
          <w:kern w:val="2"/>
          <w:szCs w:val="30"/>
        </w:rPr>
        <w:t>周到企服奖”，成为全市8家获奖单位之一</w:t>
      </w:r>
      <w:r>
        <w:rPr>
          <w:rFonts w:hint="eastAsia" w:hAnsi="宋体"/>
          <w:kern w:val="2"/>
          <w:szCs w:val="30"/>
          <w:lang w:eastAsia="zh-CN"/>
        </w:rPr>
        <w:t>；</w:t>
      </w:r>
      <w:r>
        <w:rPr>
          <w:rFonts w:hint="eastAsia" w:hAnsi="宋体"/>
          <w:kern w:val="2"/>
          <w:szCs w:val="30"/>
        </w:rPr>
        <w:t>2项案例获评2024年上海市“一网通办”经典案例</w:t>
      </w:r>
      <w:r>
        <w:rPr>
          <w:rFonts w:hint="eastAsia" w:hAnsi="宋体"/>
          <w:kern w:val="2"/>
          <w:szCs w:val="30"/>
          <w:lang w:eastAsia="zh-CN"/>
        </w:rPr>
        <w:t>。</w:t>
      </w:r>
      <w:r>
        <w:rPr>
          <w:rFonts w:hint="eastAsia" w:hAnsi="宋体"/>
          <w:kern w:val="2"/>
          <w:szCs w:val="30"/>
        </w:rPr>
        <w:t>《上海市市场监管领域不予行政处罚和减轻行政处罚实施办法》在2024年提升全市行政规范性文件质量竞赛活动中荣获一等奖</w:t>
      </w:r>
      <w:r>
        <w:rPr>
          <w:rFonts w:hint="eastAsia" w:hAnsi="宋体"/>
          <w:kern w:val="2"/>
          <w:szCs w:val="30"/>
          <w:lang w:eastAsia="zh-CN"/>
        </w:rPr>
        <w:t>。《</w:t>
      </w:r>
      <w:r>
        <w:rPr>
          <w:rFonts w:hint="eastAsia" w:hAnsi="宋体"/>
          <w:kern w:val="2"/>
          <w:szCs w:val="30"/>
        </w:rPr>
        <w:t>某</w:t>
      </w:r>
      <w:r>
        <w:rPr>
          <w:rFonts w:hint="eastAsia" w:hAnsi="宋体"/>
          <w:kern w:val="2"/>
          <w:szCs w:val="30"/>
          <w:lang w:eastAsia="zh-CN"/>
        </w:rPr>
        <w:t>医药公司等经营者滥用市场支配地位以不公平的高价销售注射用硫酸多黏菌素</w:t>
      </w:r>
      <w:r>
        <w:rPr>
          <w:rFonts w:hint="eastAsia" w:hAnsi="宋体"/>
          <w:kern w:val="2"/>
          <w:szCs w:val="30"/>
          <w:lang w:val="en-US" w:eastAsia="zh-CN"/>
        </w:rPr>
        <w:t>B</w:t>
      </w:r>
      <w:r>
        <w:rPr>
          <w:rFonts w:hint="eastAsia" w:hAnsi="宋体"/>
          <w:kern w:val="2"/>
          <w:szCs w:val="30"/>
        </w:rPr>
        <w:t>案</w:t>
      </w:r>
      <w:r>
        <w:rPr>
          <w:rFonts w:hint="eastAsia" w:hAnsi="宋体"/>
          <w:kern w:val="2"/>
          <w:szCs w:val="30"/>
          <w:lang w:eastAsia="zh-CN"/>
        </w:rPr>
        <w:t>》</w:t>
      </w:r>
      <w:r>
        <w:rPr>
          <w:rFonts w:hint="eastAsia" w:hAnsi="宋体"/>
          <w:kern w:val="2"/>
          <w:szCs w:val="30"/>
        </w:rPr>
        <w:t>入选上海市2023年度行政执法“十大案例”，</w:t>
      </w:r>
      <w:r>
        <w:rPr>
          <w:rFonts w:hint="eastAsia" w:hAnsi="宋体"/>
          <w:kern w:val="2"/>
          <w:szCs w:val="30"/>
          <w:lang w:eastAsia="zh-CN"/>
        </w:rPr>
        <w:t>《某化妆品公司组织传销案》《某智能系统公司利用互联网发布绝对化用语广告案》</w:t>
      </w:r>
      <w:r>
        <w:rPr>
          <w:rFonts w:hint="eastAsia" w:hAnsi="宋体"/>
          <w:kern w:val="2"/>
          <w:szCs w:val="30"/>
        </w:rPr>
        <w:t>入选上海市2023年度行政执法“十大提名案例”</w:t>
      </w:r>
      <w:r>
        <w:rPr>
          <w:rFonts w:hint="eastAsia" w:hAnsi="宋体"/>
          <w:kern w:val="2"/>
          <w:szCs w:val="30"/>
          <w:lang w:eastAsia="zh-CN"/>
        </w:rPr>
        <w:t>，市市场监管局是连续三年唯一有两个以上案件入选</w:t>
      </w:r>
      <w:r>
        <w:rPr>
          <w:rFonts w:hint="eastAsia" w:hAnsi="宋体"/>
          <w:kern w:val="2"/>
          <w:szCs w:val="30"/>
        </w:rPr>
        <w:t>上海市行政执法“十大案例”</w:t>
      </w:r>
      <w:r>
        <w:rPr>
          <w:rFonts w:hint="eastAsia" w:hAnsi="宋体"/>
          <w:kern w:val="2"/>
          <w:szCs w:val="30"/>
          <w:lang w:eastAsia="zh-CN"/>
        </w:rPr>
        <w:t>和“</w:t>
      </w:r>
      <w:r>
        <w:rPr>
          <w:rFonts w:hint="eastAsia" w:hAnsi="宋体"/>
          <w:kern w:val="2"/>
          <w:szCs w:val="30"/>
        </w:rPr>
        <w:t>提名案例</w:t>
      </w:r>
      <w:r>
        <w:rPr>
          <w:rFonts w:hint="eastAsia" w:hAnsi="宋体"/>
          <w:kern w:val="2"/>
          <w:szCs w:val="30"/>
          <w:lang w:eastAsia="zh-CN"/>
        </w:rPr>
        <w:t>”的单位</w:t>
      </w:r>
      <w:r>
        <w:rPr>
          <w:rFonts w:hint="eastAsia" w:hAnsi="宋体"/>
          <w:kern w:val="2"/>
          <w:szCs w:val="30"/>
        </w:rPr>
        <w:t>。</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lang w:eastAsia="zh-CN"/>
        </w:rPr>
        <w:t>市市场监管局</w:t>
      </w:r>
      <w:r>
        <w:rPr>
          <w:rFonts w:hint="eastAsia" w:hAnsi="宋体"/>
          <w:kern w:val="2"/>
          <w:szCs w:val="30"/>
        </w:rPr>
        <w:t>获得第</w:t>
      </w:r>
      <w:r>
        <w:rPr>
          <w:rFonts w:hint="eastAsia" w:hAnsi="宋体"/>
          <w:kern w:val="2"/>
          <w:szCs w:val="30"/>
          <w:lang w:val="en"/>
        </w:rPr>
        <w:t>三</w:t>
      </w:r>
      <w:r>
        <w:rPr>
          <w:rFonts w:hint="eastAsia" w:hAnsi="宋体"/>
          <w:kern w:val="2"/>
          <w:szCs w:val="30"/>
        </w:rPr>
        <w:t>届全国市场监督管理法律知识竞赛优秀奖</w:t>
      </w:r>
      <w:r>
        <w:rPr>
          <w:rFonts w:hint="eastAsia" w:hAnsi="宋体"/>
          <w:kern w:val="2"/>
          <w:szCs w:val="30"/>
          <w:lang w:val="en-US" w:eastAsia="zh-CN"/>
        </w:rPr>
        <w:t>。</w:t>
      </w:r>
      <w:r>
        <w:rPr>
          <w:rFonts w:hint="eastAsia" w:hAnsi="宋体"/>
          <w:kern w:val="2"/>
          <w:szCs w:val="30"/>
          <w:lang w:val="en"/>
        </w:rPr>
        <w:t>组织系统广告执法人才库成员撰写的《试论互联网平台经营者在广告活动中的主体身份认定》入选全国市场监管优秀广告监管执法研究文章</w:t>
      </w:r>
      <w:r>
        <w:rPr>
          <w:rFonts w:hint="eastAsia" w:hAnsi="宋体"/>
          <w:kern w:val="2"/>
          <w:szCs w:val="30"/>
          <w:lang w:val="en" w:eastAsia="zh-CN"/>
        </w:rPr>
        <w:t>。《潘某某代言违法广告系列案》《清界光学科技（上海）有限公司发布违法广告案》</w:t>
      </w:r>
      <w:r>
        <w:rPr>
          <w:rFonts w:hint="eastAsia" w:hAnsi="宋体"/>
          <w:kern w:val="2"/>
          <w:szCs w:val="30"/>
          <w:lang w:val="en"/>
        </w:rPr>
        <w:t>入选全国市场监管优秀广告监管执法典型案例。</w:t>
      </w:r>
      <w:r>
        <w:rPr>
          <w:rFonts w:hint="eastAsia" w:hAnsi="宋体"/>
          <w:kern w:val="2"/>
          <w:szCs w:val="30"/>
          <w:lang w:val="en" w:eastAsia="zh-CN"/>
        </w:rPr>
        <w:t>《</w:t>
      </w:r>
      <w:r>
        <w:rPr>
          <w:rFonts w:hint="eastAsia" w:hAnsi="宋体"/>
          <w:kern w:val="2"/>
          <w:szCs w:val="30"/>
          <w:lang w:val="en-US" w:eastAsia="zh-CN"/>
        </w:rPr>
        <w:t>直播套路花样多，“沪小狮”永远守护您</w:t>
      </w:r>
      <w:r>
        <w:rPr>
          <w:rFonts w:hint="eastAsia" w:hAnsi="宋体"/>
          <w:kern w:val="2"/>
          <w:szCs w:val="30"/>
          <w:lang w:val="en" w:eastAsia="zh-CN"/>
        </w:rPr>
        <w:t>》等</w:t>
      </w:r>
      <w:r>
        <w:rPr>
          <w:rFonts w:hint="eastAsia" w:hAnsi="宋体"/>
          <w:kern w:val="2"/>
          <w:szCs w:val="30"/>
        </w:rPr>
        <w:t>3个案例（视频）获评长三角法治宣传“十佳案例”，</w:t>
      </w:r>
      <w:r>
        <w:rPr>
          <w:rFonts w:hint="eastAsia" w:hAnsi="宋体"/>
          <w:kern w:val="2"/>
          <w:szCs w:val="30"/>
          <w:lang w:eastAsia="zh-CN"/>
        </w:rPr>
        <w:t>《</w:t>
      </w:r>
      <w:r>
        <w:rPr>
          <w:rFonts w:hint="eastAsia" w:hAnsi="宋体"/>
          <w:kern w:val="2"/>
          <w:szCs w:val="30"/>
          <w:lang w:val="en-US" w:eastAsia="zh-CN"/>
        </w:rPr>
        <w:t>打造示范引领建设法宣新平台，激发食品产业高质量发展新动能</w:t>
      </w:r>
      <w:r>
        <w:rPr>
          <w:rFonts w:hint="eastAsia" w:hAnsi="宋体"/>
          <w:kern w:val="2"/>
          <w:szCs w:val="30"/>
          <w:lang w:eastAsia="zh-CN"/>
        </w:rPr>
        <w:t>》等</w:t>
      </w:r>
      <w:r>
        <w:rPr>
          <w:rFonts w:hint="eastAsia" w:hAnsi="宋体"/>
          <w:kern w:val="2"/>
          <w:szCs w:val="30"/>
        </w:rPr>
        <w:t>2个案例获评“优秀案例”。</w:t>
      </w:r>
    </w:p>
    <w:p>
      <w:pPr>
        <w:tabs>
          <w:tab w:val="left" w:pos="790"/>
          <w:tab w:val="left" w:pos="1264"/>
        </w:tabs>
        <w:overflowPunct w:val="0"/>
        <w:adjustRightInd w:val="0"/>
        <w:snapToGrid w:val="0"/>
        <w:spacing w:line="336" w:lineRule="auto"/>
        <w:ind w:firstLine="624"/>
        <w:rPr>
          <w:rFonts w:hint="eastAsia" w:hAnsi="宋体"/>
          <w:kern w:val="2"/>
          <w:szCs w:val="30"/>
          <w:lang w:eastAsia="zh-CN"/>
        </w:rPr>
      </w:pPr>
      <w:r>
        <w:rPr>
          <w:rFonts w:hint="eastAsia" w:hAnsi="宋体"/>
          <w:kern w:val="2"/>
          <w:szCs w:val="30"/>
          <w:lang w:eastAsia="zh-CN"/>
        </w:rPr>
        <w:t>市市场监管局</w:t>
      </w:r>
      <w:r>
        <w:rPr>
          <w:rFonts w:hint="eastAsia" w:hAnsi="宋体"/>
          <w:kern w:val="2"/>
          <w:szCs w:val="30"/>
        </w:rPr>
        <w:t>法规处</w:t>
      </w:r>
      <w:r>
        <w:rPr>
          <w:rFonts w:hint="eastAsia" w:hAnsi="宋体"/>
          <w:kern w:val="2"/>
          <w:szCs w:val="30"/>
          <w:lang w:eastAsia="zh-CN"/>
        </w:rPr>
        <w:t>荣获</w:t>
      </w:r>
      <w:r>
        <w:rPr>
          <w:rFonts w:hint="eastAsia" w:hAnsi="宋体"/>
          <w:kern w:val="2"/>
          <w:szCs w:val="30"/>
        </w:rPr>
        <w:t>“全国市场监管系统先进集体”称号，荣获全国“八五”普法中期评估表现突出的单位</w:t>
      </w:r>
      <w:r>
        <w:rPr>
          <w:rFonts w:hint="eastAsia" w:hAnsi="宋体"/>
          <w:kern w:val="2"/>
          <w:szCs w:val="30"/>
          <w:lang w:eastAsia="zh-CN"/>
        </w:rPr>
        <w:t>。法规处干部在首届全市“法核能手”竞赛中获得“法核骨干”称号。</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（一）构筑法律规范体系，提升市场监管效能</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1．</w:t>
      </w:r>
      <w:r>
        <w:rPr>
          <w:rFonts w:hint="eastAsia" w:hAnsi="宋体"/>
          <w:kern w:val="2"/>
          <w:szCs w:val="30"/>
          <w:lang w:val="en-US" w:eastAsia="zh-CN"/>
        </w:rPr>
        <w:t>推进地方性法规、政府规章制（修）订等工作</w:t>
      </w:r>
      <w:r>
        <w:rPr>
          <w:rFonts w:hint="eastAsia" w:hAnsi="宋体"/>
          <w:kern w:val="2"/>
          <w:szCs w:val="30"/>
        </w:rPr>
        <w:t>。指导</w:t>
      </w:r>
      <w:r>
        <w:rPr>
          <w:rFonts w:hint="eastAsia" w:hAnsi="宋体"/>
          <w:kern w:val="2"/>
          <w:szCs w:val="30"/>
          <w:lang w:eastAsia="zh-CN"/>
        </w:rPr>
        <w:t>浦东新区</w:t>
      </w:r>
      <w:r>
        <w:rPr>
          <w:rFonts w:hint="eastAsia" w:hAnsi="宋体"/>
          <w:kern w:val="2"/>
          <w:szCs w:val="30"/>
        </w:rPr>
        <w:t>出台全国首部公平竞争审查</w:t>
      </w:r>
      <w:r>
        <w:rPr>
          <w:rFonts w:hint="eastAsia" w:hAnsi="宋体"/>
          <w:kern w:val="2"/>
          <w:szCs w:val="30"/>
          <w:lang w:eastAsia="zh-CN"/>
        </w:rPr>
        <w:t>管理措施</w:t>
      </w:r>
      <w:r>
        <w:rPr>
          <w:rFonts w:hint="eastAsia" w:hAnsi="宋体"/>
          <w:kern w:val="2"/>
          <w:szCs w:val="30"/>
        </w:rPr>
        <w:t>。</w:t>
      </w:r>
      <w:r>
        <w:rPr>
          <w:rFonts w:hint="eastAsia" w:hAnsi="宋体"/>
          <w:kern w:val="2"/>
          <w:szCs w:val="30"/>
          <w:lang w:eastAsia="zh-CN"/>
        </w:rPr>
        <w:t>组织</w:t>
      </w:r>
      <w:r>
        <w:rPr>
          <w:rFonts w:hint="eastAsia" w:hAnsi="宋体"/>
          <w:kern w:val="2"/>
          <w:szCs w:val="30"/>
        </w:rPr>
        <w:t>推进</w:t>
      </w:r>
      <w:r>
        <w:rPr>
          <w:rFonts w:hint="eastAsia" w:hAnsi="宋体"/>
          <w:kern w:val="2"/>
          <w:szCs w:val="30"/>
          <w:lang w:val="en-US" w:eastAsia="zh-CN"/>
        </w:rPr>
        <w:t>《上海市公益广告管理条例》《上海市食品安全条例》等地方性法规项目制（修）工作</w:t>
      </w:r>
      <w:r>
        <w:rPr>
          <w:rFonts w:hint="eastAsia" w:hAnsi="宋体"/>
          <w:kern w:val="2"/>
          <w:szCs w:val="30"/>
        </w:rPr>
        <w:t>。</w:t>
      </w:r>
      <w:r>
        <w:rPr>
          <w:rFonts w:hint="eastAsia" w:hAnsi="宋体"/>
          <w:kern w:val="2"/>
          <w:szCs w:val="30"/>
          <w:lang w:val="en-US" w:eastAsia="zh-CN"/>
        </w:rPr>
        <w:t>组织推进《上海市合同格式条款监督条例》《上海市检验检测条例》打包修改。在《上海市动物防疫条例》《上海市优化营商环境条例》等4个项目中，积极提出意见建议。</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2．深化行政规范性文件管理工作。</w:t>
      </w:r>
      <w:r>
        <w:rPr>
          <w:rFonts w:hint="eastAsia" w:hAnsi="宋体"/>
          <w:kern w:val="2"/>
          <w:szCs w:val="30"/>
          <w:lang w:eastAsia="zh-CN"/>
        </w:rPr>
        <w:t>对</w:t>
      </w:r>
      <w:r>
        <w:rPr>
          <w:rFonts w:hint="eastAsia" w:hAnsi="宋体"/>
          <w:kern w:val="2"/>
          <w:szCs w:val="30"/>
        </w:rPr>
        <w:t>3件市政府行政规范性文件</w:t>
      </w:r>
      <w:r>
        <w:rPr>
          <w:rFonts w:hint="eastAsia" w:hAnsi="宋体"/>
          <w:kern w:val="2"/>
          <w:szCs w:val="30"/>
          <w:lang w:eastAsia="zh-CN"/>
        </w:rPr>
        <w:t>提出</w:t>
      </w:r>
      <w:r>
        <w:rPr>
          <w:rFonts w:hint="eastAsia" w:hAnsi="宋体"/>
          <w:kern w:val="2"/>
          <w:szCs w:val="30"/>
        </w:rPr>
        <w:t>修订</w:t>
      </w:r>
      <w:r>
        <w:rPr>
          <w:rFonts w:hint="eastAsia" w:hAnsi="宋体"/>
          <w:kern w:val="2"/>
          <w:szCs w:val="30"/>
          <w:lang w:eastAsia="zh-CN"/>
        </w:rPr>
        <w:t>建议</w:t>
      </w:r>
      <w:r>
        <w:rPr>
          <w:rFonts w:hint="eastAsia" w:hAnsi="宋体"/>
          <w:kern w:val="2"/>
          <w:szCs w:val="30"/>
        </w:rPr>
        <w:t>。</w:t>
      </w:r>
      <w:r>
        <w:rPr>
          <w:rFonts w:hint="eastAsia" w:hAnsi="宋体"/>
          <w:kern w:val="2"/>
          <w:szCs w:val="30"/>
          <w:lang w:eastAsia="zh-CN"/>
        </w:rPr>
        <w:t>推进</w:t>
      </w:r>
      <w:r>
        <w:rPr>
          <w:rFonts w:hint="eastAsia" w:hAnsi="宋体"/>
          <w:kern w:val="2"/>
          <w:szCs w:val="30"/>
          <w:lang w:val="en-US" w:eastAsia="zh-CN"/>
        </w:rPr>
        <w:t>32件行政规范性文件的制定、修改、废止工作，其中，</w:t>
      </w:r>
      <w:r>
        <w:rPr>
          <w:rFonts w:hint="eastAsia" w:hAnsi="宋体"/>
          <w:kern w:val="2"/>
          <w:szCs w:val="30"/>
        </w:rPr>
        <w:t>已发文1</w:t>
      </w:r>
      <w:r>
        <w:rPr>
          <w:rFonts w:hint="default" w:hAnsi="宋体"/>
          <w:kern w:val="2"/>
          <w:szCs w:val="30"/>
          <w:lang w:val="en"/>
        </w:rPr>
        <w:t>2</w:t>
      </w:r>
      <w:r>
        <w:rPr>
          <w:rFonts w:hint="eastAsia" w:hAnsi="宋体"/>
          <w:kern w:val="2"/>
          <w:szCs w:val="30"/>
        </w:rPr>
        <w:t>件，延期</w:t>
      </w:r>
      <w:r>
        <w:rPr>
          <w:rFonts w:hint="default" w:hAnsi="宋体"/>
          <w:kern w:val="2"/>
          <w:szCs w:val="30"/>
          <w:lang w:val="en"/>
        </w:rPr>
        <w:t>3</w:t>
      </w:r>
      <w:r>
        <w:rPr>
          <w:rFonts w:hint="eastAsia" w:hAnsi="宋体"/>
          <w:kern w:val="2"/>
          <w:szCs w:val="30"/>
        </w:rPr>
        <w:t>件。完成12</w:t>
      </w:r>
      <w:r>
        <w:rPr>
          <w:rFonts w:hint="eastAsia" w:hAnsi="宋体"/>
          <w:kern w:val="2"/>
          <w:szCs w:val="30"/>
          <w:lang w:val="en-US" w:eastAsia="zh-CN"/>
        </w:rPr>
        <w:t>5</w:t>
      </w:r>
      <w:r>
        <w:rPr>
          <w:rFonts w:hint="eastAsia" w:hAnsi="宋体"/>
          <w:kern w:val="2"/>
          <w:szCs w:val="30"/>
        </w:rPr>
        <w:t>件联合发文文件属性审核和登记，其中12件属于行政规范性文件。</w:t>
      </w:r>
      <w:r>
        <w:rPr>
          <w:rFonts w:hint="eastAsia" w:hAnsi="宋体"/>
          <w:kern w:val="2"/>
          <w:szCs w:val="30"/>
          <w:lang w:eastAsia="zh-CN"/>
        </w:rPr>
        <w:t>市市场监管局</w:t>
      </w:r>
      <w:r>
        <w:rPr>
          <w:rFonts w:hint="eastAsia" w:hAnsi="宋体"/>
          <w:kern w:val="2"/>
          <w:szCs w:val="30"/>
        </w:rPr>
        <w:t>行政规范性文件项目化闭环管理机制有关做法被市全面依法治市2024年第10期工作简报</w:t>
      </w:r>
      <w:r>
        <w:rPr>
          <w:rFonts w:hint="eastAsia" w:hAnsi="宋体"/>
          <w:kern w:val="2"/>
          <w:szCs w:val="30"/>
          <w:lang w:eastAsia="zh-CN"/>
        </w:rPr>
        <w:t>刊发</w:t>
      </w:r>
      <w:r>
        <w:rPr>
          <w:rFonts w:hint="eastAsia" w:hAnsi="宋体"/>
          <w:kern w:val="2"/>
          <w:szCs w:val="30"/>
        </w:rPr>
        <w:t>。</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（二）健全行政执法体制，推进执法规范文明</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1</w:t>
      </w:r>
      <w:r>
        <w:rPr>
          <w:rFonts w:hint="default" w:hAnsi="宋体"/>
          <w:kern w:val="2"/>
          <w:szCs w:val="30"/>
          <w:lang w:val="en"/>
        </w:rPr>
        <w:t>．</w:t>
      </w:r>
      <w:r>
        <w:rPr>
          <w:rFonts w:hint="eastAsia" w:hAnsi="宋体"/>
          <w:kern w:val="2"/>
          <w:szCs w:val="30"/>
        </w:rPr>
        <w:t>推动规范涉企检查工作。制定市场监管部门规范涉企检查实施方案，提出“四减少、四提高”目标，成为全市9大执法部门方案制定的</w:t>
      </w:r>
      <w:r>
        <w:rPr>
          <w:rFonts w:hint="eastAsia" w:hAnsi="宋体"/>
          <w:kern w:val="2"/>
          <w:szCs w:val="30"/>
          <w:lang w:eastAsia="zh-CN"/>
        </w:rPr>
        <w:t>借鉴</w:t>
      </w:r>
      <w:r>
        <w:rPr>
          <w:rFonts w:hint="eastAsia" w:hAnsi="宋体"/>
          <w:kern w:val="2"/>
          <w:szCs w:val="30"/>
        </w:rPr>
        <w:t>样本。全面推进执法稽查制度，约束不良现象、防范不正之风、统一执法手势。落地餐饮业一体化综合监管改革，支持餐饮业高质量发展。全面实施A级食品（含特殊食品）生产企业“触发式”监管，相关做法被收入我市《“与构建高水平开放、高质量发展相适应的事中事后监管体系”调研案例集》。探索应用“检查码”实施“双随机、一公开”抽查，全年抽查比例压减到3</w:t>
      </w:r>
      <w:r>
        <w:rPr>
          <w:rFonts w:hint="eastAsia" w:hAnsi="宋体"/>
          <w:kern w:val="2"/>
          <w:szCs w:val="30"/>
          <w:lang w:eastAsia="zh-CN"/>
        </w:rPr>
        <w:t>％</w:t>
      </w:r>
      <w:r>
        <w:rPr>
          <w:rFonts w:hint="eastAsia" w:hAnsi="宋体"/>
          <w:kern w:val="2"/>
          <w:szCs w:val="30"/>
        </w:rPr>
        <w:t>。开发食品“重复抽检预警”小程序，食品抽检</w:t>
      </w:r>
      <w:r>
        <w:rPr>
          <w:rFonts w:hint="eastAsia" w:hAnsi="宋体"/>
          <w:kern w:val="2"/>
          <w:szCs w:val="30"/>
          <w:lang w:eastAsia="zh-CN"/>
        </w:rPr>
        <w:t>总</w:t>
      </w:r>
      <w:r>
        <w:rPr>
          <w:rFonts w:hint="eastAsia" w:hAnsi="宋体"/>
          <w:kern w:val="2"/>
          <w:szCs w:val="30"/>
        </w:rPr>
        <w:t>量下降17.9</w:t>
      </w:r>
      <w:r>
        <w:rPr>
          <w:rFonts w:hint="eastAsia" w:hAnsi="宋体"/>
          <w:kern w:val="2"/>
          <w:szCs w:val="30"/>
          <w:lang w:eastAsia="zh-CN"/>
        </w:rPr>
        <w:t>％</w:t>
      </w:r>
      <w:r>
        <w:rPr>
          <w:rFonts w:hint="eastAsia" w:hAnsi="宋体"/>
          <w:kern w:val="2"/>
          <w:szCs w:val="30"/>
        </w:rPr>
        <w:t>。</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2．开展重点领域专项整治。一是有序开展民生领域广告监管专项行动。2024年1月</w:t>
      </w:r>
      <w:r>
        <w:rPr>
          <w:rFonts w:hint="eastAsia" w:hAnsi="宋体"/>
          <w:kern w:val="2"/>
          <w:szCs w:val="30"/>
          <w:lang w:eastAsia="zh-CN"/>
        </w:rPr>
        <w:t>至</w:t>
      </w:r>
      <w:r>
        <w:rPr>
          <w:rFonts w:hint="eastAsia" w:hAnsi="宋体"/>
          <w:kern w:val="2"/>
          <w:szCs w:val="30"/>
        </w:rPr>
        <w:t>11月，开展医疗美容等民生领域广告监管专项行动，累计监测广告2</w:t>
      </w:r>
      <w:r>
        <w:rPr>
          <w:rFonts w:hint="eastAsia" w:hAnsi="宋体"/>
          <w:kern w:val="2"/>
          <w:szCs w:val="30"/>
          <w:lang w:val="en-US" w:eastAsia="zh-CN"/>
        </w:rPr>
        <w:t>00余万</w:t>
      </w:r>
      <w:r>
        <w:rPr>
          <w:rFonts w:hint="eastAsia" w:hAnsi="宋体"/>
          <w:kern w:val="2"/>
          <w:szCs w:val="30"/>
        </w:rPr>
        <w:t>条次，办结涉重点民生领域虚假违法广告案件560件</w:t>
      </w:r>
      <w:r>
        <w:rPr>
          <w:rFonts w:hint="eastAsia" w:hAnsi="宋体"/>
          <w:kern w:val="2"/>
          <w:szCs w:val="30"/>
          <w:lang w:eastAsia="zh-CN"/>
        </w:rPr>
        <w:t>，</w:t>
      </w:r>
      <w:r>
        <w:rPr>
          <w:rFonts w:hint="eastAsia" w:hAnsi="宋体"/>
          <w:kern w:val="2"/>
          <w:szCs w:val="30"/>
        </w:rPr>
        <w:t>移送公安部门1件。二是不断加强产品领域监管执法。开展电动自行车安全隐患全链条整治行动，立案查办1</w:t>
      </w:r>
      <w:r>
        <w:rPr>
          <w:rFonts w:hint="eastAsia" w:hAnsi="宋体"/>
          <w:kern w:val="2"/>
          <w:szCs w:val="30"/>
          <w:lang w:val="en"/>
        </w:rPr>
        <w:t>3</w:t>
      </w:r>
      <w:r>
        <w:rPr>
          <w:rFonts w:hint="eastAsia" w:hAnsi="宋体"/>
          <w:kern w:val="2"/>
          <w:szCs w:val="30"/>
        </w:rPr>
        <w:t>00多件</w:t>
      </w:r>
      <w:r>
        <w:rPr>
          <w:rFonts w:hint="eastAsia" w:hAnsi="宋体"/>
          <w:kern w:val="2"/>
          <w:szCs w:val="30"/>
          <w:lang w:val="en"/>
        </w:rPr>
        <w:t>，移送司法29件。</w:t>
      </w:r>
      <w:r>
        <w:rPr>
          <w:rFonts w:hint="eastAsia" w:hAnsi="宋体"/>
          <w:kern w:val="2"/>
          <w:szCs w:val="30"/>
        </w:rPr>
        <w:t>建立重点领域、重点产品质量安全风险隐患排查治理长效机制，深入开展燃气用具等24种重点工业产品质量安全隐患排查治理行动。牵头对无人机等5种产品实施长三角联动抽查704批次。三是持续推进反垄断和反不正当竞争执法。查处滥用市场支配地位、行政性垄断案件4件。开展年度竞争专项执法行动</w:t>
      </w:r>
      <w:r>
        <w:rPr>
          <w:rFonts w:hint="eastAsia" w:hAnsi="宋体"/>
          <w:kern w:val="2"/>
          <w:szCs w:val="30"/>
          <w:lang w:eastAsia="zh-CN"/>
        </w:rPr>
        <w:t>，</w:t>
      </w:r>
      <w:r>
        <w:rPr>
          <w:rFonts w:hint="eastAsia" w:hAnsi="宋体"/>
          <w:kern w:val="2"/>
          <w:szCs w:val="30"/>
        </w:rPr>
        <w:t>2024年1月</w:t>
      </w:r>
      <w:r>
        <w:rPr>
          <w:rFonts w:hint="eastAsia" w:hAnsi="宋体"/>
          <w:kern w:val="2"/>
          <w:szCs w:val="30"/>
          <w:lang w:eastAsia="zh-CN"/>
        </w:rPr>
        <w:t>至</w:t>
      </w:r>
      <w:r>
        <w:rPr>
          <w:rFonts w:hint="eastAsia" w:hAnsi="宋体"/>
          <w:kern w:val="2"/>
          <w:szCs w:val="30"/>
        </w:rPr>
        <w:t>11月，立案查办各类不正当竞争案件1018件。</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3．强化事中事后监管。一是深化“双随机、一公开”机制建设。提请市政府印发市场监管领域深入推进部门联合“双随机、一公开”监管的实施意见，推动形成更加科学规范、公平公正、公开透明的“双随机、一公开”监管机制。二是优化信用奖惩修复。编制</w:t>
      </w:r>
      <w:r>
        <w:rPr>
          <w:rFonts w:hint="eastAsia" w:hAnsi="宋体"/>
          <w:kern w:val="2"/>
          <w:szCs w:val="30"/>
          <w:lang w:eastAsia="zh-CN"/>
        </w:rPr>
        <w:t>市市场监管局和市药品监管局</w:t>
      </w:r>
      <w:r>
        <w:rPr>
          <w:rFonts w:hint="eastAsia" w:hAnsi="宋体"/>
          <w:kern w:val="2"/>
          <w:szCs w:val="30"/>
        </w:rPr>
        <w:t>信用奖惩措施清单，规范和健全市场监管信用奖惩机制。会同市发展改革委出台</w:t>
      </w:r>
      <w:r>
        <w:rPr>
          <w:rFonts w:hint="eastAsia" w:hAnsi="宋体"/>
          <w:kern w:val="2"/>
          <w:szCs w:val="30"/>
          <w:lang w:eastAsia="zh-CN"/>
        </w:rPr>
        <w:t>向</w:t>
      </w:r>
      <w:r>
        <w:rPr>
          <w:rFonts w:hint="eastAsia" w:hAnsi="宋体"/>
          <w:kern w:val="2"/>
          <w:szCs w:val="30"/>
        </w:rPr>
        <w:t>第三方信用服务机构共享移出市场监管部门经营异常名录、严重违法失信名单信息若干事项的通知，推动第三方信用服务机构同步更新信用修复信息。</w:t>
      </w:r>
    </w:p>
    <w:p>
      <w:pPr>
        <w:tabs>
          <w:tab w:val="left" w:pos="790"/>
          <w:tab w:val="left" w:pos="1264"/>
        </w:tabs>
        <w:overflowPunct w:val="0"/>
        <w:adjustRightInd w:val="0"/>
        <w:snapToGrid w:val="0"/>
        <w:spacing w:line="336" w:lineRule="auto"/>
        <w:ind w:firstLine="624"/>
        <w:rPr>
          <w:rFonts w:hint="eastAsia" w:hAnsi="宋体"/>
          <w:kern w:val="2"/>
          <w:szCs w:val="30"/>
          <w:lang w:eastAsia="zh-CN"/>
        </w:rPr>
      </w:pPr>
      <w:r>
        <w:rPr>
          <w:rFonts w:hint="eastAsia" w:hAnsi="宋体"/>
          <w:kern w:val="2"/>
          <w:szCs w:val="30"/>
        </w:rPr>
        <w:t>4．创新行政执法方式。一是实施不予行政处罚、不予实施行政强制措施制度。组织修订市场监管领域不予行政处罚和减轻行政处罚实施办法。修订后，不予实施行政处罚事项从68项增加至116项，减轻行政处罚事项从18项增加至26项。2024年1月至11月，全市市场监管部门对</w:t>
      </w:r>
      <w:r>
        <w:rPr>
          <w:rFonts w:hint="eastAsia" w:hAnsi="宋体"/>
          <w:kern w:val="2"/>
          <w:szCs w:val="30"/>
          <w:lang w:val="en-US" w:eastAsia="zh-CN"/>
        </w:rPr>
        <w:t>4850</w:t>
      </w:r>
      <w:r>
        <w:rPr>
          <w:rFonts w:hint="eastAsia" w:hAnsi="宋体"/>
          <w:kern w:val="2"/>
          <w:szCs w:val="30"/>
          <w:lang w:eastAsia="zh-CN"/>
        </w:rPr>
        <w:t>余</w:t>
      </w:r>
      <w:r>
        <w:rPr>
          <w:rFonts w:hint="eastAsia" w:hAnsi="宋体"/>
          <w:kern w:val="2"/>
          <w:szCs w:val="30"/>
        </w:rPr>
        <w:t>家经营主体实施免罚，免罚金额约</w:t>
      </w:r>
      <w:r>
        <w:rPr>
          <w:rFonts w:hint="eastAsia" w:hAnsi="宋体"/>
          <w:kern w:val="2"/>
          <w:szCs w:val="30"/>
          <w:lang w:val="en-US" w:eastAsia="zh-CN"/>
        </w:rPr>
        <w:t>2.5亿</w:t>
      </w:r>
      <w:r>
        <w:rPr>
          <w:rFonts w:hint="eastAsia" w:hAnsi="宋体"/>
          <w:kern w:val="2"/>
          <w:szCs w:val="30"/>
        </w:rPr>
        <w:t>元，对</w:t>
      </w:r>
      <w:r>
        <w:rPr>
          <w:rFonts w:hint="eastAsia" w:hAnsi="宋体"/>
          <w:kern w:val="2"/>
          <w:szCs w:val="30"/>
          <w:lang w:val="en-US" w:eastAsia="zh-CN"/>
        </w:rPr>
        <w:t>6330</w:t>
      </w:r>
      <w:r>
        <w:rPr>
          <w:rFonts w:hint="eastAsia" w:hAnsi="宋体"/>
          <w:kern w:val="2"/>
          <w:szCs w:val="30"/>
        </w:rPr>
        <w:t>家经营主体不予实施行政强制措施。二是强化数字赋能执法手段。建成以决策分析和指挥调度为统领的市场监管智能驾驶舱、以数据产品和智能服务为核心的数据慧治支撑平台、以泛在感知协同共享为关键的市场监管数字底座，形成涉企检查码、智能辅助核名、区块链追溯、法治云体检等一批重点应用场景。强化智慧电梯建设，为2.3万台住宅电梯配备远程监测装置，住宅电梯物联网覆盖率达52</w:t>
      </w:r>
      <w:r>
        <w:rPr>
          <w:rFonts w:hint="eastAsia" w:hAnsi="宋体"/>
          <w:kern w:val="2"/>
          <w:szCs w:val="30"/>
          <w:lang w:eastAsia="zh-CN"/>
        </w:rPr>
        <w:t>％</w:t>
      </w:r>
      <w:r>
        <w:rPr>
          <w:rFonts w:hint="eastAsia" w:hAnsi="宋体"/>
          <w:kern w:val="2"/>
          <w:szCs w:val="30"/>
        </w:rPr>
        <w:t>。拓展食品生产企业风险预警系统应用场景。三是</w:t>
      </w:r>
      <w:r>
        <w:rPr>
          <w:rFonts w:hint="eastAsia" w:hAnsi="宋体"/>
          <w:kern w:val="2"/>
          <w:szCs w:val="30"/>
          <w:lang w:eastAsia="zh-CN"/>
        </w:rPr>
        <w:t>践行服务型执法理念</w:t>
      </w:r>
      <w:r>
        <w:rPr>
          <w:rFonts w:hint="eastAsia" w:hAnsi="宋体"/>
          <w:kern w:val="2"/>
          <w:szCs w:val="30"/>
        </w:rPr>
        <w:t>。分类制定医院、养老院、学校、教育培训机构市场监管领域常见问题合规指引，指导相关经营主体开展自查。开展企业商业秘密保护能力提升服务月活动，推出67项强企护链举措。重点针对“一老一小”、新兴产品及食品相关产品等实施风险监测16项，指导相关生产经营企业采取措施化解风险隐患，将“事后处罚”变为“事前指导”“事中提醒”</w:t>
      </w:r>
      <w:r>
        <w:rPr>
          <w:rFonts w:hint="eastAsia" w:hAnsi="宋体"/>
          <w:kern w:val="2"/>
          <w:szCs w:val="30"/>
          <w:lang w:eastAsia="zh-CN"/>
        </w:rPr>
        <w:t>。</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（三）加强法治战略支撑，服务改革发展大局</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1．推进统一大市场建设工作。</w:t>
      </w:r>
      <w:r>
        <w:rPr>
          <w:rFonts w:hint="eastAsia" w:hAnsi="宋体"/>
          <w:kern w:val="2"/>
          <w:szCs w:val="30"/>
          <w:lang w:eastAsia="zh-CN"/>
        </w:rPr>
        <w:t>一是</w:t>
      </w:r>
      <w:r>
        <w:rPr>
          <w:rFonts w:hint="eastAsia" w:hAnsi="宋体"/>
          <w:kern w:val="2"/>
          <w:szCs w:val="30"/>
        </w:rPr>
        <w:t>全面推进地方标准梳理和清理工作</w:t>
      </w:r>
      <w:r>
        <w:rPr>
          <w:rFonts w:hint="eastAsia" w:hAnsi="宋体"/>
          <w:kern w:val="2"/>
          <w:szCs w:val="30"/>
          <w:lang w:eastAsia="zh-CN"/>
        </w:rPr>
        <w:t>。</w:t>
      </w:r>
      <w:r>
        <w:rPr>
          <w:rFonts w:hint="eastAsia" w:hAnsi="宋体"/>
          <w:kern w:val="2"/>
          <w:szCs w:val="30"/>
        </w:rPr>
        <w:t>废止或修订有碍统一大市场建设的不符合要求的地方标准113项。</w:t>
      </w:r>
      <w:r>
        <w:rPr>
          <w:rFonts w:hint="eastAsia" w:hAnsi="宋体"/>
          <w:kern w:val="2"/>
          <w:szCs w:val="30"/>
          <w:lang w:eastAsia="zh-CN"/>
        </w:rPr>
        <w:t>二是</w:t>
      </w:r>
      <w:r>
        <w:rPr>
          <w:rFonts w:hint="eastAsia" w:hAnsi="宋体"/>
          <w:kern w:val="2"/>
          <w:szCs w:val="30"/>
        </w:rPr>
        <w:t>推进重大政策措施公平竞争审查会审。2024年1月</w:t>
      </w:r>
      <w:r>
        <w:rPr>
          <w:rFonts w:hint="eastAsia" w:hAnsi="宋体"/>
          <w:kern w:val="2"/>
          <w:szCs w:val="30"/>
          <w:lang w:eastAsia="zh-CN"/>
        </w:rPr>
        <w:t>至</w:t>
      </w:r>
      <w:r>
        <w:rPr>
          <w:rFonts w:hint="eastAsia" w:hAnsi="宋体"/>
          <w:kern w:val="2"/>
          <w:szCs w:val="30"/>
        </w:rPr>
        <w:t>11月，</w:t>
      </w:r>
      <w:r>
        <w:rPr>
          <w:rFonts w:hint="eastAsia" w:hAnsi="宋体"/>
          <w:kern w:val="2"/>
          <w:szCs w:val="30"/>
          <w:lang w:val="en"/>
        </w:rPr>
        <w:t>出具公平竞争审查会审意见</w:t>
      </w:r>
      <w:r>
        <w:rPr>
          <w:rFonts w:hint="eastAsia" w:hAnsi="宋体"/>
          <w:kern w:val="2"/>
          <w:szCs w:val="30"/>
          <w:lang w:val="en-US" w:eastAsia="zh-CN"/>
        </w:rPr>
        <w:t>111</w:t>
      </w:r>
      <w:r>
        <w:rPr>
          <w:rFonts w:hint="eastAsia" w:hAnsi="宋体"/>
          <w:kern w:val="2"/>
          <w:szCs w:val="30"/>
          <w:lang w:val="en"/>
        </w:rPr>
        <w:t>份，审查</w:t>
      </w:r>
      <w:r>
        <w:rPr>
          <w:rFonts w:hint="eastAsia" w:hAnsi="宋体"/>
          <w:kern w:val="2"/>
          <w:szCs w:val="30"/>
          <w:lang w:val="en" w:eastAsia="zh-CN"/>
        </w:rPr>
        <w:t>市市场监管局</w:t>
      </w:r>
      <w:r>
        <w:rPr>
          <w:rFonts w:hint="eastAsia" w:hAnsi="宋体"/>
          <w:kern w:val="2"/>
          <w:szCs w:val="30"/>
          <w:lang w:val="en"/>
        </w:rPr>
        <w:t>发文出具公平竞争审查表</w:t>
      </w:r>
      <w:r>
        <w:rPr>
          <w:rFonts w:hint="eastAsia" w:hAnsi="宋体"/>
          <w:kern w:val="2"/>
          <w:szCs w:val="30"/>
          <w:lang w:val="en-US" w:eastAsia="zh-CN"/>
        </w:rPr>
        <w:t>75</w:t>
      </w:r>
      <w:r>
        <w:rPr>
          <w:rFonts w:hint="eastAsia" w:hAnsi="宋体"/>
          <w:kern w:val="2"/>
          <w:szCs w:val="30"/>
          <w:lang w:val="en"/>
        </w:rPr>
        <w:t>份。</w:t>
      </w:r>
      <w:r>
        <w:rPr>
          <w:rFonts w:hint="eastAsia" w:hAnsi="宋体"/>
          <w:kern w:val="2"/>
          <w:szCs w:val="30"/>
          <w:lang w:val="en" w:eastAsia="zh-CN"/>
        </w:rPr>
        <w:t>三是</w:t>
      </w:r>
      <w:r>
        <w:rPr>
          <w:rFonts w:hint="eastAsia" w:hAnsi="宋体"/>
          <w:kern w:val="2"/>
          <w:szCs w:val="30"/>
          <w:lang w:val="en"/>
        </w:rPr>
        <w:t>推进公平竞争审查监督保障措施</w:t>
      </w:r>
      <w:r>
        <w:rPr>
          <w:rFonts w:hint="eastAsia" w:hAnsi="宋体"/>
          <w:kern w:val="2"/>
          <w:szCs w:val="30"/>
          <w:lang w:val="en" w:eastAsia="zh-CN"/>
        </w:rPr>
        <w:t>。</w:t>
      </w:r>
      <w:r>
        <w:rPr>
          <w:rFonts w:hint="eastAsia" w:hAnsi="宋体"/>
          <w:kern w:val="2"/>
          <w:szCs w:val="30"/>
        </w:rPr>
        <w:t>制定招商引资等重点领域公平竞争审查规则，组织开展“破除地方保护、市场分割”专项行动。</w:t>
      </w:r>
      <w:r>
        <w:rPr>
          <w:rFonts w:hint="eastAsia" w:hAnsi="宋体"/>
          <w:kern w:val="2"/>
          <w:szCs w:val="30"/>
          <w:lang w:val="en"/>
        </w:rPr>
        <w:t>开展2024年公平竞争审查交叉检查</w:t>
      </w:r>
      <w:r>
        <w:rPr>
          <w:rFonts w:hint="eastAsia" w:hAnsi="宋体"/>
          <w:kern w:val="2"/>
          <w:szCs w:val="30"/>
          <w:lang w:val="en" w:eastAsia="zh-CN"/>
        </w:rPr>
        <w:t>，</w:t>
      </w:r>
      <w:r>
        <w:rPr>
          <w:rFonts w:hint="eastAsia" w:hAnsi="宋体"/>
          <w:kern w:val="2"/>
          <w:szCs w:val="30"/>
          <w:lang w:val="en"/>
        </w:rPr>
        <w:t>向社会公布公平竞争审查举报热线</w:t>
      </w:r>
      <w:r>
        <w:rPr>
          <w:rFonts w:hint="eastAsia" w:hAnsi="宋体"/>
          <w:kern w:val="2"/>
          <w:szCs w:val="30"/>
          <w:lang w:val="en" w:eastAsia="zh-CN"/>
        </w:rPr>
        <w:t>。</w:t>
      </w:r>
      <w:r>
        <w:rPr>
          <w:rFonts w:hint="eastAsia" w:hAnsi="宋体"/>
          <w:kern w:val="2"/>
          <w:szCs w:val="30"/>
          <w:lang w:val="en"/>
        </w:rPr>
        <w:t>开展2023</w:t>
      </w:r>
      <w:r>
        <w:rPr>
          <w:rFonts w:hint="eastAsia" w:hAnsi="宋体"/>
          <w:kern w:val="2"/>
          <w:szCs w:val="30"/>
          <w:lang w:val="en" w:eastAsia="zh-CN"/>
        </w:rPr>
        <w:t>—</w:t>
      </w:r>
      <w:r>
        <w:rPr>
          <w:rFonts w:hint="eastAsia" w:hAnsi="宋体"/>
          <w:kern w:val="2"/>
          <w:szCs w:val="30"/>
          <w:lang w:val="en"/>
        </w:rPr>
        <w:t>2024年</w:t>
      </w:r>
      <w:r>
        <w:rPr>
          <w:rFonts w:hint="eastAsia" w:hAnsi="宋体"/>
          <w:kern w:val="2"/>
          <w:szCs w:val="30"/>
          <w:lang w:val="en" w:eastAsia="zh-CN"/>
        </w:rPr>
        <w:t>市、区</w:t>
      </w:r>
      <w:r>
        <w:rPr>
          <w:rFonts w:hint="eastAsia" w:hAnsi="宋体"/>
          <w:kern w:val="2"/>
          <w:szCs w:val="30"/>
          <w:lang w:val="en"/>
        </w:rPr>
        <w:t>两级民政、绿化市容、体育部门及“五大新城”竞争政策执行情况第三方评估</w:t>
      </w:r>
      <w:r>
        <w:rPr>
          <w:rFonts w:hint="eastAsia" w:hAnsi="宋体"/>
          <w:kern w:val="2"/>
          <w:szCs w:val="30"/>
          <w:lang w:val="en" w:eastAsia="zh-CN"/>
        </w:rPr>
        <w:t>。</w:t>
      </w:r>
      <w:r>
        <w:rPr>
          <w:rFonts w:hint="eastAsia" w:hAnsi="宋体"/>
          <w:kern w:val="2"/>
          <w:szCs w:val="30"/>
          <w:lang w:val="en"/>
        </w:rPr>
        <w:t>配合完成</w:t>
      </w:r>
      <w:r>
        <w:rPr>
          <w:rFonts w:hint="eastAsia" w:hAnsi="宋体"/>
          <w:kern w:val="2"/>
          <w:szCs w:val="30"/>
          <w:lang w:val="en" w:eastAsia="zh-CN"/>
        </w:rPr>
        <w:t>市场监管</w:t>
      </w:r>
      <w:r>
        <w:rPr>
          <w:rFonts w:hint="eastAsia" w:hAnsi="宋体"/>
          <w:kern w:val="2"/>
          <w:szCs w:val="30"/>
          <w:lang w:val="en"/>
        </w:rPr>
        <w:t>总局长江经济带公平竞争审查制度落实情况核查工作。完成不平等对待企业清理与法治实地督察工作。</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2．深化长三角市场监管一体化建设。签署长三角市场监管服务建设全国统一大市场先行区战略合作协议</w:t>
      </w:r>
      <w:r>
        <w:rPr>
          <w:rFonts w:hint="eastAsia" w:hAnsi="宋体"/>
          <w:kern w:val="2"/>
          <w:szCs w:val="30"/>
          <w:lang w:eastAsia="zh-CN"/>
        </w:rPr>
        <w:t>和</w:t>
      </w:r>
      <w:r>
        <w:rPr>
          <w:rFonts w:hint="eastAsia" w:hAnsi="宋体"/>
          <w:kern w:val="2"/>
          <w:szCs w:val="30"/>
        </w:rPr>
        <w:t>推进共建“信用长三角”框架协议，印发长三角市场监管一体化数字化转型行动方案。会同市发展改革委，联合苏浙皖三省市场监管部门制定实施推进长三角区域市场一体化建设近期重点工作举措</w:t>
      </w:r>
      <w:r>
        <w:rPr>
          <w:rFonts w:hint="eastAsia" w:hAnsi="宋体"/>
          <w:kern w:val="2"/>
          <w:szCs w:val="30"/>
          <w:lang w:eastAsia="zh-CN"/>
        </w:rPr>
        <w:t>（</w:t>
      </w:r>
      <w:r>
        <w:rPr>
          <w:rFonts w:hint="eastAsia" w:hAnsi="宋体"/>
          <w:kern w:val="2"/>
          <w:szCs w:val="30"/>
        </w:rPr>
        <w:t>2024</w:t>
      </w:r>
      <w:r>
        <w:rPr>
          <w:rFonts w:hint="eastAsia" w:hAnsi="宋体"/>
          <w:kern w:val="2"/>
          <w:szCs w:val="30"/>
          <w:lang w:eastAsia="zh-CN"/>
        </w:rPr>
        <w:t>—</w:t>
      </w:r>
      <w:r>
        <w:rPr>
          <w:rFonts w:hint="eastAsia" w:hAnsi="宋体"/>
          <w:kern w:val="2"/>
          <w:szCs w:val="30"/>
        </w:rPr>
        <w:t>2025年</w:t>
      </w:r>
      <w:r>
        <w:rPr>
          <w:rFonts w:hint="default" w:hAnsi="宋体"/>
          <w:kern w:val="2"/>
          <w:szCs w:val="30"/>
          <w:lang w:val="en"/>
        </w:rPr>
        <w:t>）</w:t>
      </w:r>
      <w:r>
        <w:rPr>
          <w:rFonts w:hint="eastAsia" w:hAnsi="宋体"/>
          <w:kern w:val="2"/>
          <w:szCs w:val="30"/>
        </w:rPr>
        <w:t>。牵头制定长三角CCC免办工作指引，制发3C免办证明1万</w:t>
      </w:r>
      <w:r>
        <w:rPr>
          <w:rFonts w:hint="eastAsia" w:hAnsi="宋体"/>
          <w:kern w:val="2"/>
          <w:szCs w:val="30"/>
          <w:lang w:eastAsia="zh-CN"/>
        </w:rPr>
        <w:t>余</w:t>
      </w:r>
      <w:r>
        <w:rPr>
          <w:rFonts w:hint="eastAsia" w:hAnsi="宋体"/>
          <w:kern w:val="2"/>
          <w:szCs w:val="30"/>
        </w:rPr>
        <w:t>张</w:t>
      </w:r>
      <w:r>
        <w:rPr>
          <w:rFonts w:hint="eastAsia" w:hAnsi="宋体"/>
          <w:kern w:val="2"/>
          <w:szCs w:val="30"/>
          <w:lang w:eastAsia="zh-CN"/>
        </w:rPr>
        <w:t>。</w:t>
      </w:r>
      <w:r>
        <w:rPr>
          <w:rFonts w:hint="eastAsia" w:hAnsi="宋体"/>
          <w:kern w:val="2"/>
          <w:szCs w:val="30"/>
        </w:rPr>
        <w:t>发布全国首个区域性食品安全信息追溯地方标准，新发布长三角区域地方标准9项，共同批筹空间信息等4个长三角计量技术委员会</w:t>
      </w:r>
      <w:r>
        <w:rPr>
          <w:rFonts w:hint="eastAsia" w:hAnsi="宋体"/>
          <w:kern w:val="2"/>
          <w:szCs w:val="30"/>
          <w:lang w:eastAsia="zh-CN"/>
        </w:rPr>
        <w:t>。</w:t>
      </w:r>
      <w:r>
        <w:rPr>
          <w:rFonts w:hint="eastAsia" w:hAnsi="宋体"/>
          <w:kern w:val="2"/>
          <w:szCs w:val="30"/>
        </w:rPr>
        <w:t>推动成立长三角示范区智能制造行业企业商业秘密保护联盟。</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3．优化法治化营商环境。</w:t>
      </w:r>
      <w:r>
        <w:rPr>
          <w:rFonts w:hint="eastAsia" w:hAnsi="宋体"/>
          <w:kern w:val="2"/>
          <w:szCs w:val="30"/>
          <w:lang w:eastAsia="zh-CN"/>
        </w:rPr>
        <w:t>一是</w:t>
      </w:r>
      <w:r>
        <w:rPr>
          <w:rFonts w:hint="eastAsia" w:hAnsi="宋体"/>
          <w:kern w:val="2"/>
          <w:szCs w:val="30"/>
        </w:rPr>
        <w:t>深化营商环境改革，印发《上海市场监管部门坚持对标改革持续打造国际一流营商环境实施方案》，出台17大项59小项改革事项。5篇创新案例被上海市营商环境建设情况简报录用。全面落实优化营商环境7.0版行动方案，推出深化经营主体登记管理改革21条举措。推进住所登记、企业名称、退出机制、撤销登记等关键环节改革，推动电子营业执照和企业码在政府采购招投标、银行开户、宽带办理等场景中应用，落实外国人永久居留身份证便利化使用政策。</w:t>
      </w:r>
      <w:r>
        <w:rPr>
          <w:rFonts w:hint="eastAsia" w:hAnsi="宋体"/>
          <w:kern w:val="2"/>
          <w:szCs w:val="30"/>
          <w:lang w:eastAsia="zh-CN"/>
        </w:rPr>
        <w:t>二是推进行政审批制度改革。</w:t>
      </w:r>
      <w:r>
        <w:rPr>
          <w:rFonts w:hint="eastAsia" w:hAnsi="宋体"/>
          <w:kern w:val="2"/>
          <w:szCs w:val="30"/>
        </w:rPr>
        <w:t>优化食品经营许可和备案管理，推进连锁食品经营许可便利化评审。拓展实施食品生产研发“一址两用”政策，百事、伊利等4家研发中心实现创新工厂功能叠加。5项国家重点“高效办成一件事”改革全面落地实施，企业信息变更、企业注销登记“一件事”改革获国务院办公厅通报肯定并在全国大会上作经验交流，开办餐饮店“一件事”改革在《人民日报》刊载。</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（四）提升法治建设能力，营造良好法治生态</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1．加强人才队伍建设。开展食品生产、特种设备、检验检测等领域专题培训，遴选执法骨干，组建</w:t>
      </w:r>
      <w:r>
        <w:rPr>
          <w:rFonts w:hint="eastAsia" w:hAnsi="宋体"/>
          <w:kern w:val="2"/>
          <w:szCs w:val="30"/>
          <w:lang w:val="en"/>
        </w:rPr>
        <w:t>专业队伍，</w:t>
      </w:r>
      <w:r>
        <w:rPr>
          <w:rFonts w:hint="eastAsia" w:hAnsi="宋体"/>
          <w:kern w:val="2"/>
          <w:szCs w:val="30"/>
        </w:rPr>
        <w:t>提升依法行政和执法办案能力，推进职业化、专业化监管队伍建设。</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2．营造良好法治环境。一是有效落实“八五”普法</w:t>
      </w:r>
      <w:r>
        <w:rPr>
          <w:rFonts w:hint="eastAsia" w:hAnsi="宋体"/>
          <w:kern w:val="2"/>
          <w:szCs w:val="30"/>
          <w:lang w:eastAsia="zh-CN"/>
        </w:rPr>
        <w:t>规划相关</w:t>
      </w:r>
      <w:r>
        <w:rPr>
          <w:rFonts w:hint="eastAsia" w:hAnsi="宋体"/>
          <w:kern w:val="2"/>
          <w:szCs w:val="30"/>
        </w:rPr>
        <w:t>工作。持续打造法治宣传十佳案例、竞争文化等系列品牌。发挥上海市场监管新媒体矩阵作用</w:t>
      </w:r>
      <w:r>
        <w:rPr>
          <w:rFonts w:hint="eastAsia" w:hAnsi="宋体"/>
          <w:kern w:val="2"/>
          <w:szCs w:val="30"/>
          <w:lang w:eastAsia="zh-CN"/>
        </w:rPr>
        <w:t>，</w:t>
      </w:r>
      <w:r>
        <w:rPr>
          <w:rFonts w:hint="eastAsia" w:hAnsi="宋体"/>
          <w:kern w:val="2"/>
          <w:szCs w:val="30"/>
        </w:rPr>
        <w:t>强化全媒体智慧动态普法。结合民法典主题宣传</w:t>
      </w:r>
      <w:r>
        <w:rPr>
          <w:rFonts w:hint="eastAsia" w:hAnsi="宋体"/>
          <w:kern w:val="2"/>
          <w:szCs w:val="30"/>
          <w:lang w:eastAsia="zh-CN"/>
        </w:rPr>
        <w:t>月、</w:t>
      </w:r>
      <w:r>
        <w:rPr>
          <w:rFonts w:hint="eastAsia" w:hAnsi="宋体"/>
          <w:kern w:val="2"/>
          <w:szCs w:val="30"/>
        </w:rPr>
        <w:t>国际消费者权益日、世界计量日、</w:t>
      </w:r>
      <w:r>
        <w:rPr>
          <w:rFonts w:hint="eastAsia" w:hAnsi="宋体"/>
          <w:kern w:val="2"/>
          <w:szCs w:val="30"/>
          <w:lang w:eastAsia="zh-CN"/>
        </w:rPr>
        <w:t>食品安全宣传周、</w:t>
      </w:r>
      <w:r>
        <w:rPr>
          <w:rFonts w:hint="eastAsia" w:hAnsi="宋体"/>
          <w:kern w:val="2"/>
          <w:szCs w:val="30"/>
        </w:rPr>
        <w:t>宪法宣传周等重要时间节点强化宣传。二是创新推出市场监管法治云体检</w:t>
      </w:r>
      <w:r>
        <w:rPr>
          <w:rFonts w:hint="eastAsia" w:hAnsi="宋体"/>
          <w:kern w:val="2"/>
          <w:szCs w:val="30"/>
          <w:lang w:eastAsia="zh-CN"/>
        </w:rPr>
        <w:t>。</w:t>
      </w:r>
      <w:r>
        <w:rPr>
          <w:rFonts w:hint="eastAsia" w:hAnsi="宋体"/>
          <w:kern w:val="2"/>
          <w:szCs w:val="30"/>
        </w:rPr>
        <w:t>基于企业精准画像，依托随申办移动端，线上出具“体检结论”和“健康建议”，让企业既体验“全科门诊”式“体检”，又享受“专科门诊”式个性化合规指引。</w:t>
      </w:r>
    </w:p>
    <w:p>
      <w:pPr>
        <w:tabs>
          <w:tab w:val="left" w:pos="790"/>
          <w:tab w:val="left" w:pos="1264"/>
        </w:tabs>
        <w:overflowPunct w:val="0"/>
        <w:adjustRightInd w:val="0"/>
        <w:snapToGrid w:val="0"/>
        <w:spacing w:line="336" w:lineRule="auto"/>
        <w:ind w:firstLine="624"/>
        <w:rPr>
          <w:rFonts w:hint="eastAsia" w:ascii="黑体" w:hAnsi="黑体" w:eastAsia="黑体" w:cs="黑体"/>
          <w:kern w:val="2"/>
          <w:szCs w:val="30"/>
          <w:lang w:eastAsia="zh-CN"/>
        </w:rPr>
      </w:pPr>
      <w:r>
        <w:rPr>
          <w:rFonts w:hint="eastAsia" w:ascii="黑体" w:hAnsi="黑体" w:eastAsia="黑体" w:cs="黑体"/>
          <w:kern w:val="2"/>
          <w:szCs w:val="30"/>
          <w:lang w:eastAsia="zh-CN"/>
        </w:rPr>
        <w:t>二、党政主要负责人履行推进法治建设第一责任人职责，加强法治政府建设的情况</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（一）带头学习贯彻习近平法治思想</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lang w:eastAsia="zh-CN"/>
        </w:rPr>
        <w:t>市市场监管局</w:t>
      </w:r>
      <w:r>
        <w:rPr>
          <w:rFonts w:hint="eastAsia" w:hAnsi="宋体"/>
          <w:kern w:val="2"/>
          <w:szCs w:val="30"/>
        </w:rPr>
        <w:t>将习近平法治思想列入党组理论学习中心组学习计划。2024年2月23日，</w:t>
      </w:r>
      <w:r>
        <w:rPr>
          <w:rFonts w:hint="eastAsia" w:hAnsi="宋体"/>
          <w:kern w:val="2"/>
          <w:szCs w:val="30"/>
          <w:lang w:eastAsia="zh-CN"/>
        </w:rPr>
        <w:t>党组</w:t>
      </w:r>
      <w:r>
        <w:rPr>
          <w:rFonts w:hint="eastAsia" w:hAnsi="宋体"/>
          <w:kern w:val="2"/>
          <w:szCs w:val="30"/>
        </w:rPr>
        <w:t>理论学习中心组（扩大）学习会暨法治政府建设大讲堂第八讲邀请华东政法大学经济法学院院长钱玉林教授，围绕“新公司法的发展”主题作学习辅导报告。</w:t>
      </w:r>
      <w:r>
        <w:rPr>
          <w:rFonts w:hint="eastAsia" w:hAnsi="宋体"/>
          <w:kern w:val="2"/>
          <w:szCs w:val="30"/>
          <w:lang w:eastAsia="zh-CN"/>
        </w:rPr>
        <w:t>全年</w:t>
      </w:r>
      <w:r>
        <w:rPr>
          <w:rFonts w:hint="eastAsia" w:hAnsi="宋体"/>
          <w:kern w:val="2"/>
          <w:szCs w:val="30"/>
        </w:rPr>
        <w:t>围绕学习贯彻习近平法治思想，举办四期法治政府建设大讲堂，</w:t>
      </w:r>
      <w:r>
        <w:rPr>
          <w:rFonts w:hint="eastAsia" w:hAnsi="宋体"/>
          <w:kern w:val="2"/>
          <w:szCs w:val="30"/>
          <w:lang w:eastAsia="zh-CN"/>
        </w:rPr>
        <w:t>市市场监管局</w:t>
      </w:r>
      <w:r>
        <w:rPr>
          <w:rFonts w:hint="eastAsia" w:hAnsi="宋体"/>
          <w:kern w:val="2"/>
          <w:szCs w:val="30"/>
        </w:rPr>
        <w:t>领导班子成员参加。先后举办</w:t>
      </w:r>
      <w:r>
        <w:rPr>
          <w:rFonts w:hint="eastAsia" w:hAnsi="宋体"/>
          <w:kern w:val="2"/>
          <w:szCs w:val="30"/>
          <w:lang w:eastAsia="zh-CN"/>
        </w:rPr>
        <w:t>市市场监管局</w:t>
      </w:r>
      <w:r>
        <w:rPr>
          <w:rFonts w:hint="eastAsia" w:hAnsi="宋体"/>
          <w:kern w:val="2"/>
          <w:szCs w:val="30"/>
        </w:rPr>
        <w:t>系统全体处级领导干部学习贯彻习近平总书记考察上海重要讲话精神专题培训班，贯彻落实党的二十届三中全会精神培训班以及</w:t>
      </w:r>
      <w:r>
        <w:rPr>
          <w:rFonts w:hint="eastAsia" w:hAnsi="宋体"/>
          <w:kern w:val="2"/>
          <w:szCs w:val="30"/>
          <w:lang w:eastAsia="zh-CN"/>
        </w:rPr>
        <w:t>市市场监管局</w:t>
      </w:r>
      <w:r>
        <w:rPr>
          <w:rFonts w:hint="eastAsia" w:hAnsi="宋体"/>
          <w:kern w:val="2"/>
          <w:szCs w:val="30"/>
        </w:rPr>
        <w:t>系统青年干部培训班、系统中青年专家人才班，深入学习习近平法治思想，树牢法治思维，提高依法行政能力。</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（二）积极履行推进法治建设第一责任人职责</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lang w:eastAsia="zh-CN"/>
        </w:rPr>
        <w:t>市市场监管局</w:t>
      </w:r>
      <w:r>
        <w:rPr>
          <w:rFonts w:hint="eastAsia" w:hAnsi="宋体"/>
          <w:kern w:val="2"/>
          <w:szCs w:val="30"/>
        </w:rPr>
        <w:t>党组把推进法治政府建设摆在全局工作的重要位置，定期带头研究部署、推动落实法治建设工作。</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2024年3月4日，</w:t>
      </w:r>
      <w:r>
        <w:rPr>
          <w:rFonts w:hint="eastAsia" w:hAnsi="宋体"/>
          <w:kern w:val="2"/>
          <w:szCs w:val="30"/>
          <w:lang w:eastAsia="zh-CN"/>
        </w:rPr>
        <w:t>市市场监管局</w:t>
      </w:r>
      <w:r>
        <w:rPr>
          <w:rFonts w:hint="eastAsia" w:hAnsi="宋体"/>
          <w:kern w:val="2"/>
          <w:szCs w:val="30"/>
        </w:rPr>
        <w:t>党组书记、局长倪俊南在</w:t>
      </w:r>
      <w:r>
        <w:rPr>
          <w:rFonts w:hint="eastAsia" w:hAnsi="宋体"/>
          <w:kern w:val="2"/>
          <w:szCs w:val="30"/>
          <w:lang w:eastAsia="zh-CN"/>
        </w:rPr>
        <w:t>市市场监管局</w:t>
      </w:r>
      <w:r>
        <w:rPr>
          <w:rFonts w:hint="eastAsia" w:hAnsi="宋体"/>
          <w:kern w:val="2"/>
          <w:szCs w:val="30"/>
        </w:rPr>
        <w:t>党组会上进行2023年度专题述法，围绕2023年度履行推进法治建设第一责任人职责情况，从带头深入学习贯彻习近平法治</w:t>
      </w:r>
      <w:bookmarkStart w:id="0" w:name="_GoBack"/>
      <w:bookmarkEnd w:id="0"/>
      <w:r>
        <w:rPr>
          <w:rFonts w:hint="eastAsia" w:hAnsi="宋体"/>
          <w:kern w:val="2"/>
          <w:szCs w:val="30"/>
        </w:rPr>
        <w:t>思想、在法治化轨道上推进市场监管各项工作、提高应用法治思维和法治方式解决问题能力等三个方面进行了履职述法。</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（三）健全依法决策机制</w:t>
      </w:r>
    </w:p>
    <w:p>
      <w:pPr>
        <w:tabs>
          <w:tab w:val="left" w:pos="790"/>
          <w:tab w:val="left" w:pos="1264"/>
        </w:tabs>
        <w:overflowPunct w:val="0"/>
        <w:adjustRightInd w:val="0"/>
        <w:snapToGrid w:val="0"/>
        <w:spacing w:line="336" w:lineRule="auto"/>
        <w:ind w:firstLine="624"/>
        <w:rPr>
          <w:rFonts w:hint="default" w:hAnsi="宋体"/>
          <w:kern w:val="2"/>
          <w:szCs w:val="30"/>
          <w:lang w:val="en-US" w:eastAsia="zh-CN"/>
        </w:rPr>
      </w:pPr>
      <w:r>
        <w:rPr>
          <w:rFonts w:hint="eastAsia" w:hAnsi="宋体"/>
          <w:kern w:val="2"/>
          <w:szCs w:val="30"/>
          <w:lang w:eastAsia="zh-CN"/>
        </w:rPr>
        <w:t>市市场监管局</w:t>
      </w:r>
      <w:r>
        <w:rPr>
          <w:rFonts w:hint="eastAsia" w:hAnsi="宋体"/>
          <w:kern w:val="2"/>
          <w:szCs w:val="30"/>
        </w:rPr>
        <w:t>严格执行《重大行政决策程序暂行条例》，履行合法性审核和集体讨论决定程序</w:t>
      </w:r>
      <w:r>
        <w:rPr>
          <w:rFonts w:hint="eastAsia" w:hAnsi="宋体"/>
          <w:kern w:val="2"/>
          <w:szCs w:val="30"/>
          <w:lang w:eastAsia="zh-CN"/>
        </w:rPr>
        <w:t>，</w:t>
      </w:r>
      <w:r>
        <w:rPr>
          <w:rFonts w:hint="eastAsia" w:hAnsi="宋体"/>
          <w:kern w:val="2"/>
          <w:szCs w:val="30"/>
        </w:rPr>
        <w:t>确保决策内容符合法律法规规章规定。</w:t>
      </w:r>
      <w:r>
        <w:rPr>
          <w:rFonts w:hint="eastAsia" w:hAnsi="宋体"/>
          <w:kern w:val="2"/>
          <w:szCs w:val="30"/>
          <w:lang w:val="en-US" w:eastAsia="zh-CN"/>
        </w:rPr>
        <w:t>2024年10月30日，邀请华东政法大学研究生院副院长伍坚教授等6名公众代表列席2024年第28次局长办公会参与决策审议，落实重大行政决策听取意见制度。</w:t>
      </w:r>
    </w:p>
    <w:p>
      <w:pPr>
        <w:tabs>
          <w:tab w:val="left" w:pos="790"/>
          <w:tab w:val="left" w:pos="1264"/>
        </w:tabs>
        <w:overflowPunct w:val="0"/>
        <w:adjustRightInd w:val="0"/>
        <w:snapToGrid w:val="0"/>
        <w:spacing w:line="336" w:lineRule="auto"/>
        <w:ind w:firstLine="624"/>
        <w:rPr>
          <w:rFonts w:hint="eastAsia" w:ascii="黑体" w:hAnsi="黑体" w:eastAsia="黑体" w:cs="黑体"/>
          <w:kern w:val="2"/>
          <w:szCs w:val="30"/>
          <w:lang w:eastAsia="zh-CN"/>
        </w:rPr>
      </w:pPr>
      <w:r>
        <w:rPr>
          <w:rFonts w:hint="eastAsia" w:ascii="黑体" w:hAnsi="黑体" w:eastAsia="黑体" w:cs="黑体"/>
          <w:kern w:val="2"/>
          <w:szCs w:val="30"/>
          <w:lang w:eastAsia="zh-CN"/>
        </w:rPr>
        <w:t>三、存在的不足</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202</w:t>
      </w:r>
      <w:r>
        <w:rPr>
          <w:rFonts w:hint="eastAsia" w:hAnsi="宋体"/>
          <w:kern w:val="2"/>
          <w:szCs w:val="30"/>
          <w:lang w:val="en"/>
        </w:rPr>
        <w:t>4</w:t>
      </w:r>
      <w:r>
        <w:rPr>
          <w:rFonts w:hint="eastAsia" w:hAnsi="宋体"/>
          <w:kern w:val="2"/>
          <w:szCs w:val="30"/>
        </w:rPr>
        <w:t>年，</w:t>
      </w:r>
      <w:r>
        <w:rPr>
          <w:rFonts w:hint="eastAsia" w:hAnsi="宋体"/>
          <w:kern w:val="2"/>
          <w:szCs w:val="30"/>
          <w:lang w:eastAsia="zh-CN"/>
        </w:rPr>
        <w:t>市市场监管局</w:t>
      </w:r>
      <w:r>
        <w:rPr>
          <w:rFonts w:hint="eastAsia" w:hAnsi="宋体"/>
          <w:kern w:val="2"/>
          <w:szCs w:val="30"/>
        </w:rPr>
        <w:t>法治建设虽然取得了一定成绩，但仍存在短板和不足，主要表现在：运用法治思维和法治方式解决问题、推进工作的能力和水平有待进一步提高；监管制度的协同性有待进一步提高；基层法治建设能力有待进一步提高，推动法治建设重心下移、力量下沉有待进一步</w:t>
      </w:r>
      <w:r>
        <w:rPr>
          <w:rFonts w:hint="eastAsia" w:hAnsi="宋体"/>
          <w:kern w:val="2"/>
          <w:szCs w:val="30"/>
          <w:lang w:eastAsia="zh-CN"/>
        </w:rPr>
        <w:t>加强</w:t>
      </w:r>
      <w:r>
        <w:rPr>
          <w:rFonts w:hint="eastAsia" w:hAnsi="宋体"/>
          <w:kern w:val="2"/>
          <w:szCs w:val="30"/>
        </w:rPr>
        <w:t>。</w:t>
      </w:r>
    </w:p>
    <w:p>
      <w:pPr>
        <w:tabs>
          <w:tab w:val="left" w:pos="790"/>
          <w:tab w:val="left" w:pos="1264"/>
        </w:tabs>
        <w:overflowPunct w:val="0"/>
        <w:adjustRightInd w:val="0"/>
        <w:snapToGrid w:val="0"/>
        <w:spacing w:line="336" w:lineRule="auto"/>
        <w:ind w:firstLine="624"/>
        <w:rPr>
          <w:rFonts w:hint="eastAsia" w:ascii="黑体" w:hAnsi="黑体" w:eastAsia="黑体" w:cs="黑体"/>
          <w:kern w:val="2"/>
          <w:szCs w:val="30"/>
          <w:lang w:eastAsia="zh-CN"/>
        </w:rPr>
      </w:pPr>
      <w:r>
        <w:rPr>
          <w:rFonts w:hint="eastAsia" w:ascii="黑体" w:hAnsi="黑体" w:eastAsia="黑体" w:cs="黑体"/>
          <w:kern w:val="2"/>
          <w:szCs w:val="30"/>
          <w:lang w:eastAsia="zh-CN"/>
        </w:rPr>
        <w:t>四、202</w:t>
      </w:r>
      <w:r>
        <w:rPr>
          <w:rFonts w:hint="eastAsia" w:ascii="黑体" w:hAnsi="黑体" w:eastAsia="黑体" w:cs="黑体"/>
          <w:kern w:val="2"/>
          <w:szCs w:val="30"/>
          <w:lang w:val="en" w:eastAsia="zh-CN"/>
        </w:rPr>
        <w:t>5</w:t>
      </w:r>
      <w:r>
        <w:rPr>
          <w:rFonts w:hint="eastAsia" w:ascii="黑体" w:hAnsi="黑体" w:eastAsia="黑体" w:cs="黑体"/>
          <w:kern w:val="2"/>
          <w:szCs w:val="30"/>
          <w:lang w:eastAsia="zh-CN"/>
        </w:rPr>
        <w:t>年工作设想</w:t>
      </w:r>
    </w:p>
    <w:p>
      <w:pPr>
        <w:tabs>
          <w:tab w:val="left" w:pos="790"/>
          <w:tab w:val="left" w:pos="1264"/>
        </w:tabs>
        <w:overflowPunct w:val="0"/>
        <w:adjustRightInd w:val="0"/>
        <w:snapToGrid w:val="0"/>
        <w:spacing w:line="336" w:lineRule="auto"/>
        <w:ind w:firstLine="624"/>
        <w:rPr>
          <w:rFonts w:hint="eastAsia" w:hAnsi="宋体"/>
          <w:kern w:val="2"/>
          <w:szCs w:val="30"/>
          <w:lang w:eastAsia="zh-CN"/>
        </w:rPr>
      </w:pPr>
      <w:r>
        <w:rPr>
          <w:rFonts w:hint="eastAsia" w:hAnsi="宋体"/>
          <w:kern w:val="2"/>
          <w:szCs w:val="30"/>
        </w:rPr>
        <w:t>202</w:t>
      </w:r>
      <w:r>
        <w:rPr>
          <w:rFonts w:hint="eastAsia" w:hAnsi="宋体"/>
          <w:kern w:val="2"/>
          <w:szCs w:val="30"/>
          <w:lang w:val="en"/>
        </w:rPr>
        <w:t>5</w:t>
      </w:r>
      <w:r>
        <w:rPr>
          <w:rFonts w:hint="eastAsia" w:hAnsi="宋体"/>
          <w:kern w:val="2"/>
          <w:szCs w:val="30"/>
        </w:rPr>
        <w:t>年是</w:t>
      </w:r>
      <w:r>
        <w:rPr>
          <w:rFonts w:hint="eastAsia" w:hAnsi="宋体"/>
          <w:kern w:val="2"/>
          <w:szCs w:val="30"/>
          <w:lang w:val="en"/>
        </w:rPr>
        <w:t>“十四五”规划的收官之年，也是承前启后谋划“十五五”发展的关键之年</w:t>
      </w:r>
      <w:r>
        <w:rPr>
          <w:rFonts w:hint="eastAsia" w:hAnsi="宋体"/>
          <w:kern w:val="2"/>
          <w:szCs w:val="30"/>
        </w:rPr>
        <w:t>。202</w:t>
      </w:r>
      <w:r>
        <w:rPr>
          <w:rFonts w:hint="eastAsia" w:hAnsi="宋体"/>
          <w:kern w:val="2"/>
          <w:szCs w:val="30"/>
          <w:lang w:val="en"/>
        </w:rPr>
        <w:t>5</w:t>
      </w:r>
      <w:r>
        <w:rPr>
          <w:rFonts w:hint="eastAsia" w:hAnsi="宋体"/>
          <w:kern w:val="2"/>
          <w:szCs w:val="30"/>
        </w:rPr>
        <w:t>年，</w:t>
      </w:r>
      <w:r>
        <w:rPr>
          <w:rFonts w:hint="eastAsia" w:hAnsi="宋体"/>
          <w:kern w:val="2"/>
          <w:szCs w:val="30"/>
          <w:lang w:eastAsia="zh-CN"/>
        </w:rPr>
        <w:t>市市场监管局将</w:t>
      </w:r>
      <w:r>
        <w:rPr>
          <w:rFonts w:hint="eastAsia" w:hAnsi="宋体"/>
          <w:kern w:val="2"/>
          <w:szCs w:val="30"/>
        </w:rPr>
        <w:t>以习近平新时代中国特色社会主义思想为指导，全面贯彻落实党的二十大和二十届二中、三中全会精神，深入学习贯彻习近平法治思想和习近平总书记考察上海重要讲话精神，按照十二届市委五次全会和市委全面依法治市委员会部署，围绕推动高质量发展首要任务和构建新发展格局战略任务，聚焦建设“五个中心”重要使命，持续推进市场监管法治建设各项工作提质增效、均衡发展、创新突破，着力营造国际一流法治化营商环境，为加快建成具有世界影响力的社会主义现代化国际大都市贡献市场监管法治力量</w:t>
      </w:r>
      <w:r>
        <w:rPr>
          <w:rFonts w:hint="eastAsia" w:hAnsi="宋体"/>
          <w:kern w:val="2"/>
          <w:szCs w:val="30"/>
          <w:lang w:eastAsia="zh-CN"/>
        </w:rPr>
        <w:t>。</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（一）更大力度完善制度供给体系</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完成《上海市食品安全条例》修改等立法项目，完善市场监管地方法规规范体系。统筹好合法性审</w:t>
      </w:r>
      <w:r>
        <w:rPr>
          <w:rFonts w:hint="eastAsia" w:hAnsi="宋体"/>
          <w:kern w:val="2"/>
          <w:szCs w:val="30"/>
          <w:lang w:eastAsia="zh-CN"/>
        </w:rPr>
        <w:t>核</w:t>
      </w:r>
      <w:r>
        <w:rPr>
          <w:rFonts w:hint="eastAsia" w:hAnsi="宋体"/>
          <w:kern w:val="2"/>
          <w:szCs w:val="30"/>
        </w:rPr>
        <w:t>、公平竞争审查、政策统一性审查，形成严格、高效的工作机制。探索建立市场监管法治研究基地，汇集</w:t>
      </w:r>
      <w:r>
        <w:rPr>
          <w:rFonts w:hint="eastAsia" w:hAnsi="宋体"/>
          <w:kern w:val="2"/>
          <w:szCs w:val="30"/>
          <w:lang w:eastAsia="zh-CN"/>
        </w:rPr>
        <w:t>市、区</w:t>
      </w:r>
      <w:r>
        <w:rPr>
          <w:rFonts w:hint="eastAsia" w:hAnsi="宋体"/>
          <w:kern w:val="2"/>
          <w:szCs w:val="30"/>
        </w:rPr>
        <w:t>两级专业力量，开展前瞻、涉外、疑难法律问题研究，做好政策储备。</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（二）更实举措优化营商环境体系</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推进落实本市优化营商环境</w:t>
      </w:r>
      <w:r>
        <w:rPr>
          <w:rFonts w:hint="eastAsia" w:hAnsi="宋体"/>
          <w:kern w:val="2"/>
          <w:szCs w:val="30"/>
          <w:lang w:val="en-US" w:eastAsia="zh-CN"/>
        </w:rPr>
        <w:t>8.0</w:t>
      </w:r>
      <w:r>
        <w:rPr>
          <w:rFonts w:hint="eastAsia" w:hAnsi="宋体"/>
          <w:kern w:val="2"/>
          <w:szCs w:val="30"/>
        </w:rPr>
        <w:t>版行动方案，重点开展优化涉企行政检查工作，实现“四减少、四提高”工作目标。深化免罚减罚免强制度落实，落地“一网通办”改革项目，聚焦高频事项以整体政府思维推进“高效办成一件事”，切实让经营主体有获得感。</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lang w:eastAsia="zh-CN"/>
        </w:rPr>
      </w:pPr>
      <w:r>
        <w:rPr>
          <w:rFonts w:hint="eastAsia" w:ascii="楷体_GB2312" w:hAnsi="楷体_GB2312" w:eastAsia="楷体_GB2312" w:cs="楷体_GB2312"/>
          <w:kern w:val="2"/>
          <w:szCs w:val="30"/>
          <w:lang w:eastAsia="zh-CN"/>
        </w:rPr>
        <w:t>（三）更深层次强化风险防控体系</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加强执法监督和指导，探索法治工作“三书一函”制度和案例指导制度，防止出现“小过重罚”“类案不同罚”等情形。</w:t>
      </w:r>
      <w:r>
        <w:rPr>
          <w:rFonts w:hint="eastAsia" w:hAnsi="宋体"/>
          <w:kern w:val="2"/>
          <w:szCs w:val="30"/>
          <w:lang w:val="en-US" w:eastAsia="zh-CN"/>
        </w:rPr>
        <w:t>加强行政复议、行政诉讼相关工作，出台市市场监管局行政诉讼应诉规则，推动行政机关负责人出庭、旁听、讲评“三合一”活动常态化。聚焦执法实践中的难点、堵点、痛点，持续开展法律沙龙。围绕行政复议、行政诉讼中出现的疑难争议问题，形成类案法治审查口径。</w:t>
      </w:r>
    </w:p>
    <w:p>
      <w:pPr>
        <w:tabs>
          <w:tab w:val="left" w:pos="790"/>
          <w:tab w:val="left" w:pos="1264"/>
        </w:tabs>
        <w:overflowPunct w:val="0"/>
        <w:adjustRightInd w:val="0"/>
        <w:snapToGrid w:val="0"/>
        <w:spacing w:line="336" w:lineRule="auto"/>
        <w:ind w:firstLine="624"/>
        <w:rPr>
          <w:rFonts w:hint="eastAsia" w:ascii="楷体_GB2312" w:hAnsi="楷体_GB2312" w:eastAsia="楷体_GB2312" w:cs="楷体_GB2312"/>
          <w:kern w:val="2"/>
          <w:szCs w:val="30"/>
        </w:rPr>
      </w:pPr>
      <w:r>
        <w:rPr>
          <w:rFonts w:hint="eastAsia" w:ascii="楷体_GB2312" w:hAnsi="楷体_GB2312" w:eastAsia="楷体_GB2312" w:cs="楷体_GB2312"/>
          <w:kern w:val="2"/>
          <w:szCs w:val="30"/>
          <w:lang w:eastAsia="zh-CN"/>
        </w:rPr>
        <w:t>（四）更高水平</w:t>
      </w:r>
      <w:r>
        <w:rPr>
          <w:rFonts w:hint="eastAsia" w:ascii="楷体_GB2312" w:hAnsi="楷体_GB2312" w:eastAsia="楷体_GB2312" w:cs="楷体_GB2312"/>
          <w:kern w:val="2"/>
          <w:szCs w:val="30"/>
        </w:rPr>
        <w:t>构建法宣赋能体系</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完善合规指引正面清单，探索高频违法行为披露负面清单，优化法治云体检服务，形成“两清单、一服务”赋能机制，助力经营主体提升合规能力。擦亮“沪小狮说法”品牌，用好新媒体，多形式开展精准普法，浓厚社会法治氛围。结合市场监管数字化试验区建设，推动法治建设培育和评价、区域营商环境测评、联合发文审核全程电子化，实现业务工作和数字化建设双向促进。</w:t>
      </w:r>
    </w:p>
    <w:p>
      <w:pPr>
        <w:tabs>
          <w:tab w:val="left" w:pos="790"/>
          <w:tab w:val="left" w:pos="1264"/>
        </w:tabs>
        <w:overflowPunct w:val="0"/>
        <w:adjustRightInd w:val="0"/>
        <w:snapToGrid w:val="0"/>
        <w:spacing w:line="336" w:lineRule="auto"/>
        <w:ind w:firstLine="624"/>
        <w:rPr>
          <w:rFonts w:hint="eastAsia" w:hAnsi="宋体"/>
          <w:kern w:val="2"/>
          <w:szCs w:val="30"/>
        </w:rPr>
      </w:pPr>
      <w:r>
        <w:rPr>
          <w:rFonts w:hint="eastAsia" w:hAnsi="宋体"/>
          <w:kern w:val="2"/>
          <w:szCs w:val="30"/>
        </w:rPr>
        <w:t>特此报告。</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1003" w:firstLine="624"/>
        <w:jc w:val="right"/>
        <w:textAlignment w:val="auto"/>
        <w:rPr>
          <w:rFonts w:hint="eastAsia" w:hAnsi="宋体"/>
          <w:kern w:val="2"/>
          <w:szCs w:val="30"/>
        </w:rPr>
      </w:pPr>
      <w:r>
        <w:rPr>
          <w:rFonts w:hint="eastAsia" w:hAnsi="宋体"/>
          <w:kern w:val="2"/>
          <w:szCs w:val="30"/>
        </w:rPr>
        <w:t>上海市市场监督管理局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right="1247" w:firstLine="624"/>
        <w:jc w:val="right"/>
        <w:textAlignment w:val="auto"/>
        <w:rPr>
          <w:rFonts w:hint="eastAsia" w:hAnsi="宋体"/>
          <w:kern w:val="2"/>
          <w:szCs w:val="30"/>
        </w:rPr>
      </w:pPr>
      <w:r>
        <w:rPr>
          <w:rFonts w:hint="eastAsia" w:hAnsi="宋体"/>
          <w:kern w:val="2"/>
          <w:szCs w:val="30"/>
        </w:rPr>
        <w:t>202</w:t>
      </w:r>
      <w:r>
        <w:rPr>
          <w:rFonts w:hint="default" w:hAnsi="宋体"/>
          <w:kern w:val="2"/>
          <w:szCs w:val="30"/>
          <w:lang w:val="en"/>
        </w:rPr>
        <w:t>4</w:t>
      </w:r>
      <w:r>
        <w:rPr>
          <w:rFonts w:hint="eastAsia" w:hAnsi="宋体"/>
          <w:kern w:val="2"/>
          <w:szCs w:val="30"/>
        </w:rPr>
        <w:t>年</w:t>
      </w:r>
      <w:r>
        <w:rPr>
          <w:rFonts w:hint="eastAsia" w:hAnsi="宋体"/>
          <w:kern w:val="2"/>
          <w:szCs w:val="30"/>
          <w:lang w:val="en-US" w:eastAsia="zh-CN"/>
        </w:rPr>
        <w:t>12</w:t>
      </w:r>
      <w:r>
        <w:rPr>
          <w:rFonts w:hint="eastAsia" w:hAnsi="宋体"/>
          <w:kern w:val="2"/>
          <w:szCs w:val="30"/>
        </w:rPr>
        <w:t>月</w:t>
      </w:r>
      <w:r>
        <w:rPr>
          <w:rFonts w:hint="eastAsia" w:hAnsi="宋体"/>
          <w:kern w:val="2"/>
          <w:szCs w:val="30"/>
          <w:lang w:val="en-US" w:eastAsia="zh-CN"/>
        </w:rPr>
        <w:t>31</w:t>
      </w:r>
      <w:r>
        <w:rPr>
          <w:rFonts w:hint="eastAsia" w:hAnsi="宋体"/>
          <w:kern w:val="2"/>
          <w:szCs w:val="30"/>
        </w:rPr>
        <w:t>日</w:t>
      </w:r>
    </w:p>
    <w:p>
      <w:pPr>
        <w:tabs>
          <w:tab w:val="left" w:pos="790"/>
          <w:tab w:val="left" w:pos="1264"/>
        </w:tabs>
        <w:overflowPunct w:val="0"/>
        <w:adjustRightInd w:val="0"/>
        <w:snapToGrid w:val="0"/>
        <w:spacing w:line="336" w:lineRule="auto"/>
        <w:ind w:firstLine="624"/>
        <w:rPr>
          <w:rFonts w:hint="eastAsia" w:hAnsi="宋体" w:eastAsia="仿宋_GB2312"/>
          <w:kern w:val="2"/>
          <w:szCs w:val="30"/>
          <w:lang w:eastAsia="zh-CN"/>
        </w:rPr>
      </w:pPr>
      <w:r>
        <w:rPr>
          <w:rFonts w:hint="eastAsia" w:hAnsi="宋体"/>
          <w:kern w:val="2"/>
          <w:szCs w:val="30"/>
          <w:lang w:eastAsia="zh-CN"/>
        </w:rPr>
        <w:t>（此件公开发布）</w:t>
      </w: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tabs>
          <w:tab w:val="left" w:pos="790"/>
          <w:tab w:val="left" w:pos="1264"/>
        </w:tabs>
        <w:overflowPunct w:val="0"/>
        <w:adjustRightInd w:val="0"/>
        <w:snapToGrid w:val="0"/>
        <w:spacing w:line="336" w:lineRule="auto"/>
        <w:ind w:firstLine="624"/>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after="220" w:line="336" w:lineRule="auto"/>
        <w:ind w:firstLine="624"/>
        <w:textAlignment w:val="auto"/>
        <w:rPr>
          <w:rFonts w:hint="eastAsia" w:hAnsi="宋体"/>
          <w:kern w:val="2"/>
          <w:szCs w:val="30"/>
        </w:rPr>
      </w:pPr>
    </w:p>
    <w:p>
      <w:pPr>
        <w:overflowPunct w:val="0"/>
        <w:adjustRightInd w:val="0"/>
        <w:snapToGrid w:val="0"/>
        <w:spacing w:line="336" w:lineRule="auto"/>
        <w:ind w:firstLine="284"/>
        <w:rPr>
          <w:rFonts w:hint="eastAsia"/>
          <w:kern w:val="2"/>
          <w:sz w:val="28"/>
          <w:szCs w:val="28"/>
        </w:rPr>
      </w:pPr>
      <w:r>
        <w:rPr>
          <w:rFonts w:hint="eastAsia"/>
          <w:kern w:val="2"/>
          <w:sz w:val="28"/>
          <w:szCs w:val="28"/>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-56515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4.45pt;height:0pt;width:442.2pt;z-index:251663360;mso-width-relative:page;mso-height-relative:page;" filled="f" stroked="t" coordsize="21600,21600" o:gfxdata="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w2zgHWAAAABgEAAA8AAAAAAAAAAQAgAAAAOAAAAGRycy9kb3ducmV2LnhtbFBLAQIUABQA&#10;AAAIAIdO4kADsId83AEAAJoDAAAOAAAAAAAAAAEAIAAAADsBAABkcnMvZTJvRG9jLnhtbFBLBQYA&#10;AAAABgAGAFkBAACJBQAAAAA=&#10;">
                <v:fill on="f" focussize="0,0"/>
                <v:stroke weight="1pt" color="#000000" joinstyle="round"/>
                <v:imagedata o:title=""/>
                <o:lock v:ext="edit" aspectratio="f"/>
                <w10:anchorlock/>
              </v:line>
            </w:pict>
          </mc:Fallback>
        </mc:AlternateContent>
      </w:r>
      <w:r>
        <w:rPr>
          <w:rFonts w:hint="eastAsia"/>
          <w:kern w:val="2"/>
          <w:sz w:val="28"/>
          <w:szCs w:val="28"/>
        </w:rPr>
        <w:t>抄送：</w:t>
      </w:r>
      <w:r>
        <w:rPr>
          <w:rFonts w:hint="eastAsia" w:hAnsi="宋体"/>
          <w:kern w:val="2"/>
          <w:sz w:val="28"/>
          <w:szCs w:val="28"/>
          <w:lang w:val="en-US" w:eastAsia="zh-CN"/>
        </w:rPr>
        <w:t>市委依法治市办</w:t>
      </w:r>
      <w:r>
        <w:rPr>
          <w:rFonts w:hint="eastAsia" w:hAnsi="宋体"/>
          <w:kern w:val="2"/>
          <w:sz w:val="28"/>
          <w:szCs w:val="28"/>
        </w:rPr>
        <w:t>。</w:t>
      </w:r>
    </w:p>
    <w:p>
      <w:pPr>
        <w:overflowPunct w:val="0"/>
        <w:adjustRightInd w:val="0"/>
        <w:snapToGrid w:val="0"/>
        <w:spacing w:line="336" w:lineRule="auto"/>
        <w:ind w:firstLine="284"/>
        <w:rPr>
          <w:rFonts w:hint="eastAsia" w:hAnsi="宋体"/>
          <w:kern w:val="2"/>
          <w:sz w:val="28"/>
          <w:szCs w:val="28"/>
        </w:rPr>
      </w:pPr>
      <w:r>
        <w:rPr>
          <w:rFonts w:hint="eastAsia"/>
          <w:kern w:val="2"/>
          <w:sz w:val="28"/>
          <w:szCs w:val="28"/>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-51435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4.05pt;height:0pt;width:442.2pt;z-index:251665408;mso-width-relative:page;mso-height-relative:page;" filled="f" stroked="t" coordsize="21600,21600" o:gfxdata="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JewWsjTAAAABgEAAA8AAAAAAAAAAQAgAAAAOAAAAGRycy9kb3ducmV2LnhtbFBLAQIUABQAAAAI&#10;AIdO4kCTFpUX3AEAAJkDAAAOAAAAAAAAAAEAIAAAADgBAABkcnMvZTJvRG9jLnhtbFBLBQYAAAAA&#10;BgAGAFkBAACGBQAAAAA=&#10;">
                <v:fill on="f" focussize="0,0"/>
                <v:stroke weight="0.5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262890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20.7pt;height:0pt;width:442.2pt;z-index:251664384;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N6AYMdUAAAAGAQAADwAAAAAAAAABACAAAAA4AAAAZHJzL2Rvd25yZXYueG1sUEsBAhQAFAAA&#10;AAgAh07iQMVfKATcAQAAmgMAAA4AAAAAAAAAAQAgAAAAOgEAAGRycy9lMm9Eb2MueG1sUEsFBgAA&#10;AAAGAAYAWQEAAIgF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eastAsia" w:hAnsi="宋体"/>
          <w:kern w:val="2"/>
          <w:sz w:val="28"/>
          <w:szCs w:val="28"/>
          <w:lang w:val="en-US" w:eastAsia="zh-CN"/>
        </w:rPr>
        <w:t>4</w:t>
      </w:r>
      <w:r>
        <w:rPr>
          <w:rFonts w:hint="eastAsia" w:hAnsi="宋体"/>
          <w:kern w:val="2"/>
          <w:sz w:val="28"/>
          <w:szCs w:val="28"/>
        </w:rPr>
        <w:t>年</w:t>
      </w:r>
      <w:r>
        <w:rPr>
          <w:rFonts w:hint="eastAsia" w:hAnsi="宋体"/>
          <w:kern w:val="2"/>
          <w:sz w:val="28"/>
          <w:szCs w:val="28"/>
          <w:lang w:val="en-US" w:eastAsia="zh-CN"/>
        </w:rPr>
        <w:t>12</w:t>
      </w:r>
      <w:r>
        <w:rPr>
          <w:rFonts w:hint="eastAsia" w:hAnsi="宋体"/>
          <w:kern w:val="2"/>
          <w:sz w:val="28"/>
          <w:szCs w:val="28"/>
        </w:rPr>
        <w:t>月</w:t>
      </w:r>
      <w:r>
        <w:rPr>
          <w:rFonts w:hint="eastAsia" w:hAnsi="宋体"/>
          <w:kern w:val="2"/>
          <w:sz w:val="28"/>
          <w:szCs w:val="28"/>
          <w:lang w:val="en-US" w:eastAsia="zh-CN"/>
        </w:rPr>
        <w:t>31</w:t>
      </w:r>
      <w:r>
        <w:rPr>
          <w:rFonts w:hint="eastAsia" w:hAnsi="宋体"/>
          <w:kern w:val="2"/>
          <w:sz w:val="28"/>
          <w:szCs w:val="28"/>
        </w:rPr>
        <w:t xml:space="preserve">日印发  </w:t>
      </w:r>
    </w:p>
    <w:sectPr>
      <w:footerReference r:id="rId3" w:type="default"/>
      <w:footerReference r:id="rId4" w:type="even"/>
      <w:pgSz w:w="11906" w:h="16838"/>
      <w:pgMar w:top="2098" w:right="1474" w:bottom="1984" w:left="1588" w:header="851" w:footer="141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false"/>
  <w:bordersDoNotSurroundFooter w:val="false"/>
  <w:documentProtection w:enforcement="0"/>
  <w:defaultTabStop w:val="420"/>
  <w:evenAndOddHeaders w:val="true"/>
  <w:drawingGridHorizontalSpacing w:val="158"/>
  <w:drawingGridVerticalSpacing w:val="579"/>
  <w:displayHorizontalDrawingGridEvery w:val="1"/>
  <w:displayVerticalDrawingGridEvery w:val="1"/>
  <w:noPunctuationKerning w:val="true"/>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0C"/>
    <w:rsid w:val="00002F22"/>
    <w:rsid w:val="000157C2"/>
    <w:rsid w:val="00016882"/>
    <w:rsid w:val="00025867"/>
    <w:rsid w:val="000314D8"/>
    <w:rsid w:val="0005567F"/>
    <w:rsid w:val="0007487A"/>
    <w:rsid w:val="0008056F"/>
    <w:rsid w:val="0009059E"/>
    <w:rsid w:val="000A2188"/>
    <w:rsid w:val="000E7CFC"/>
    <w:rsid w:val="000F3B5E"/>
    <w:rsid w:val="000F5FD0"/>
    <w:rsid w:val="001108AC"/>
    <w:rsid w:val="00117071"/>
    <w:rsid w:val="0012370F"/>
    <w:rsid w:val="00127386"/>
    <w:rsid w:val="00133D51"/>
    <w:rsid w:val="00140CAF"/>
    <w:rsid w:val="00151782"/>
    <w:rsid w:val="001648FC"/>
    <w:rsid w:val="00190182"/>
    <w:rsid w:val="00192F45"/>
    <w:rsid w:val="0019472E"/>
    <w:rsid w:val="001D214C"/>
    <w:rsid w:val="001E165A"/>
    <w:rsid w:val="001F1947"/>
    <w:rsid w:val="001F1A9E"/>
    <w:rsid w:val="001F3181"/>
    <w:rsid w:val="00231222"/>
    <w:rsid w:val="0024443E"/>
    <w:rsid w:val="00275526"/>
    <w:rsid w:val="002866A5"/>
    <w:rsid w:val="00292827"/>
    <w:rsid w:val="00293618"/>
    <w:rsid w:val="002B2CC0"/>
    <w:rsid w:val="002B59CF"/>
    <w:rsid w:val="002C25D3"/>
    <w:rsid w:val="002C68E0"/>
    <w:rsid w:val="002C6A2B"/>
    <w:rsid w:val="002D6976"/>
    <w:rsid w:val="002D7950"/>
    <w:rsid w:val="002E3211"/>
    <w:rsid w:val="002F2A85"/>
    <w:rsid w:val="003403AD"/>
    <w:rsid w:val="00362A9F"/>
    <w:rsid w:val="00396EF6"/>
    <w:rsid w:val="003A2BF5"/>
    <w:rsid w:val="003B21D4"/>
    <w:rsid w:val="003B2F7C"/>
    <w:rsid w:val="003B7FC4"/>
    <w:rsid w:val="003D6953"/>
    <w:rsid w:val="003D6D4D"/>
    <w:rsid w:val="003E7F05"/>
    <w:rsid w:val="003F0042"/>
    <w:rsid w:val="003F4E8F"/>
    <w:rsid w:val="00405507"/>
    <w:rsid w:val="00436883"/>
    <w:rsid w:val="00461541"/>
    <w:rsid w:val="00491899"/>
    <w:rsid w:val="00491A2A"/>
    <w:rsid w:val="004B488F"/>
    <w:rsid w:val="004F40FA"/>
    <w:rsid w:val="00506DB8"/>
    <w:rsid w:val="00514926"/>
    <w:rsid w:val="00522B69"/>
    <w:rsid w:val="00532FC5"/>
    <w:rsid w:val="00537A08"/>
    <w:rsid w:val="005B380B"/>
    <w:rsid w:val="005B739C"/>
    <w:rsid w:val="005C2045"/>
    <w:rsid w:val="00606CE9"/>
    <w:rsid w:val="00610840"/>
    <w:rsid w:val="00614EEF"/>
    <w:rsid w:val="006358C8"/>
    <w:rsid w:val="00637273"/>
    <w:rsid w:val="006405BD"/>
    <w:rsid w:val="006420FC"/>
    <w:rsid w:val="00645658"/>
    <w:rsid w:val="0067056B"/>
    <w:rsid w:val="006779BF"/>
    <w:rsid w:val="00691BAF"/>
    <w:rsid w:val="006A4712"/>
    <w:rsid w:val="006C0C3E"/>
    <w:rsid w:val="006C514C"/>
    <w:rsid w:val="006E019C"/>
    <w:rsid w:val="006E31E7"/>
    <w:rsid w:val="006F7E55"/>
    <w:rsid w:val="00700049"/>
    <w:rsid w:val="00715E26"/>
    <w:rsid w:val="00746FCA"/>
    <w:rsid w:val="00761051"/>
    <w:rsid w:val="0076519D"/>
    <w:rsid w:val="00766331"/>
    <w:rsid w:val="00767E78"/>
    <w:rsid w:val="007740C1"/>
    <w:rsid w:val="007744D2"/>
    <w:rsid w:val="007750A7"/>
    <w:rsid w:val="0077779D"/>
    <w:rsid w:val="007855D8"/>
    <w:rsid w:val="00797832"/>
    <w:rsid w:val="007A3388"/>
    <w:rsid w:val="007B294B"/>
    <w:rsid w:val="0080349F"/>
    <w:rsid w:val="008225D2"/>
    <w:rsid w:val="00847199"/>
    <w:rsid w:val="008679E4"/>
    <w:rsid w:val="0088509D"/>
    <w:rsid w:val="008B01F6"/>
    <w:rsid w:val="008C564A"/>
    <w:rsid w:val="008C6A82"/>
    <w:rsid w:val="008D5839"/>
    <w:rsid w:val="008D6FBF"/>
    <w:rsid w:val="008E4FF8"/>
    <w:rsid w:val="00932EDB"/>
    <w:rsid w:val="00933411"/>
    <w:rsid w:val="00952311"/>
    <w:rsid w:val="00970C36"/>
    <w:rsid w:val="00980697"/>
    <w:rsid w:val="009A4E0B"/>
    <w:rsid w:val="009B2F8A"/>
    <w:rsid w:val="009C43CB"/>
    <w:rsid w:val="009E64BA"/>
    <w:rsid w:val="00A02BDF"/>
    <w:rsid w:val="00A10DB6"/>
    <w:rsid w:val="00A127A1"/>
    <w:rsid w:val="00A6087D"/>
    <w:rsid w:val="00A67C96"/>
    <w:rsid w:val="00A763B8"/>
    <w:rsid w:val="00A76F88"/>
    <w:rsid w:val="00AB4A3B"/>
    <w:rsid w:val="00AD7CAF"/>
    <w:rsid w:val="00AE37BD"/>
    <w:rsid w:val="00AF64CA"/>
    <w:rsid w:val="00B26ADE"/>
    <w:rsid w:val="00B274E5"/>
    <w:rsid w:val="00B312A7"/>
    <w:rsid w:val="00B3496D"/>
    <w:rsid w:val="00B62FE0"/>
    <w:rsid w:val="00B65E65"/>
    <w:rsid w:val="00B67527"/>
    <w:rsid w:val="00B731D9"/>
    <w:rsid w:val="00B850BD"/>
    <w:rsid w:val="00BC7872"/>
    <w:rsid w:val="00BD7780"/>
    <w:rsid w:val="00C526AB"/>
    <w:rsid w:val="00CA2B95"/>
    <w:rsid w:val="00CB23EB"/>
    <w:rsid w:val="00CD15F8"/>
    <w:rsid w:val="00CD3A64"/>
    <w:rsid w:val="00CD4D6C"/>
    <w:rsid w:val="00CE3095"/>
    <w:rsid w:val="00CE46E5"/>
    <w:rsid w:val="00D13260"/>
    <w:rsid w:val="00D67A8A"/>
    <w:rsid w:val="00D82846"/>
    <w:rsid w:val="00D879D4"/>
    <w:rsid w:val="00DB79CA"/>
    <w:rsid w:val="00DD143F"/>
    <w:rsid w:val="00DD4C95"/>
    <w:rsid w:val="00DE7BCD"/>
    <w:rsid w:val="00DF5DA4"/>
    <w:rsid w:val="00E4514D"/>
    <w:rsid w:val="00E678FC"/>
    <w:rsid w:val="00E767F0"/>
    <w:rsid w:val="00EC07C1"/>
    <w:rsid w:val="00EF1FF5"/>
    <w:rsid w:val="00EF4DCE"/>
    <w:rsid w:val="00F130EE"/>
    <w:rsid w:val="00F43DBD"/>
    <w:rsid w:val="00F54765"/>
    <w:rsid w:val="00F60D2D"/>
    <w:rsid w:val="00F7163B"/>
    <w:rsid w:val="00F7561B"/>
    <w:rsid w:val="00F85361"/>
    <w:rsid w:val="00F85A87"/>
    <w:rsid w:val="00FA4DAC"/>
    <w:rsid w:val="00FA660C"/>
    <w:rsid w:val="00FD5E41"/>
    <w:rsid w:val="00FD61A5"/>
    <w:rsid w:val="00FE0818"/>
    <w:rsid w:val="00FE0832"/>
    <w:rsid w:val="07D79223"/>
    <w:rsid w:val="0BDB6E3C"/>
    <w:rsid w:val="0D4FD3F5"/>
    <w:rsid w:val="0FEF5195"/>
    <w:rsid w:val="153F74DA"/>
    <w:rsid w:val="162F5D6E"/>
    <w:rsid w:val="17F206D5"/>
    <w:rsid w:val="17FBAD1A"/>
    <w:rsid w:val="1F6BE54E"/>
    <w:rsid w:val="1FF33A19"/>
    <w:rsid w:val="1FFBFE59"/>
    <w:rsid w:val="1FFF279A"/>
    <w:rsid w:val="206F284E"/>
    <w:rsid w:val="256F8483"/>
    <w:rsid w:val="27FBCDA2"/>
    <w:rsid w:val="27FDF144"/>
    <w:rsid w:val="2BFE3C55"/>
    <w:rsid w:val="2DFF18F9"/>
    <w:rsid w:val="2DFF3F42"/>
    <w:rsid w:val="2EBD3C63"/>
    <w:rsid w:val="2F627624"/>
    <w:rsid w:val="2F7B8B7D"/>
    <w:rsid w:val="2F7F2B4C"/>
    <w:rsid w:val="2FADE863"/>
    <w:rsid w:val="2FBFE431"/>
    <w:rsid w:val="2FD72CFC"/>
    <w:rsid w:val="352FD824"/>
    <w:rsid w:val="36DE0D5C"/>
    <w:rsid w:val="36FFB9B2"/>
    <w:rsid w:val="376FA667"/>
    <w:rsid w:val="37CFD515"/>
    <w:rsid w:val="37FB684E"/>
    <w:rsid w:val="3AFFF682"/>
    <w:rsid w:val="3B5D94D8"/>
    <w:rsid w:val="3BB7F419"/>
    <w:rsid w:val="3BEF482E"/>
    <w:rsid w:val="3BFEA9EB"/>
    <w:rsid w:val="3DDFCBB7"/>
    <w:rsid w:val="3DEB438A"/>
    <w:rsid w:val="3DF05810"/>
    <w:rsid w:val="3DFB9C54"/>
    <w:rsid w:val="3E71D715"/>
    <w:rsid w:val="3E7EBA98"/>
    <w:rsid w:val="3EEF43E5"/>
    <w:rsid w:val="3EFD0BF8"/>
    <w:rsid w:val="3F97B6BD"/>
    <w:rsid w:val="3FCA4A6E"/>
    <w:rsid w:val="3FD934AF"/>
    <w:rsid w:val="3FF36CBC"/>
    <w:rsid w:val="3FFE2931"/>
    <w:rsid w:val="3FFFE5FB"/>
    <w:rsid w:val="47C7886A"/>
    <w:rsid w:val="47FCC671"/>
    <w:rsid w:val="4A7622A6"/>
    <w:rsid w:val="4AFEF0F7"/>
    <w:rsid w:val="4CFD15C2"/>
    <w:rsid w:val="4D8F8C1B"/>
    <w:rsid w:val="4DF6E593"/>
    <w:rsid w:val="4DFE6135"/>
    <w:rsid w:val="4E39D225"/>
    <w:rsid w:val="4EB9CFD4"/>
    <w:rsid w:val="4F63A11A"/>
    <w:rsid w:val="4FFD3919"/>
    <w:rsid w:val="53FF134D"/>
    <w:rsid w:val="53FF9FC6"/>
    <w:rsid w:val="5677C053"/>
    <w:rsid w:val="56F3F0B1"/>
    <w:rsid w:val="575D6D59"/>
    <w:rsid w:val="5A472EFD"/>
    <w:rsid w:val="5BEE07B3"/>
    <w:rsid w:val="5D9D8B93"/>
    <w:rsid w:val="5DEFC781"/>
    <w:rsid w:val="5DF63CDF"/>
    <w:rsid w:val="5EA8B4ED"/>
    <w:rsid w:val="5EAEF343"/>
    <w:rsid w:val="5EF3D218"/>
    <w:rsid w:val="5EFFCC96"/>
    <w:rsid w:val="5F59FC59"/>
    <w:rsid w:val="5F7B4F33"/>
    <w:rsid w:val="5F7FFB9F"/>
    <w:rsid w:val="5FAB4667"/>
    <w:rsid w:val="5FBA7568"/>
    <w:rsid w:val="5FD60BAF"/>
    <w:rsid w:val="5FDE15C3"/>
    <w:rsid w:val="5FEA1D91"/>
    <w:rsid w:val="5FFF0248"/>
    <w:rsid w:val="5FFF7041"/>
    <w:rsid w:val="63B31A4A"/>
    <w:rsid w:val="63D6354D"/>
    <w:rsid w:val="63FF951D"/>
    <w:rsid w:val="66FF83F1"/>
    <w:rsid w:val="67F4BB00"/>
    <w:rsid w:val="6AC74075"/>
    <w:rsid w:val="6B77394F"/>
    <w:rsid w:val="6BBA6B27"/>
    <w:rsid w:val="6BBD9A74"/>
    <w:rsid w:val="6BE3659F"/>
    <w:rsid w:val="6BFFD348"/>
    <w:rsid w:val="6CAE7723"/>
    <w:rsid w:val="6CFA4E2E"/>
    <w:rsid w:val="6EDE0F15"/>
    <w:rsid w:val="6EFBD2BD"/>
    <w:rsid w:val="6F6EA522"/>
    <w:rsid w:val="6F75CBA1"/>
    <w:rsid w:val="6F7E1193"/>
    <w:rsid w:val="6F7F6FBE"/>
    <w:rsid w:val="6FAFCB69"/>
    <w:rsid w:val="6FB6DA6F"/>
    <w:rsid w:val="6FCDDED2"/>
    <w:rsid w:val="6FDC34A1"/>
    <w:rsid w:val="6FEEEFD1"/>
    <w:rsid w:val="6FFDE05C"/>
    <w:rsid w:val="71DF9397"/>
    <w:rsid w:val="722BA6CA"/>
    <w:rsid w:val="727F4145"/>
    <w:rsid w:val="736C9819"/>
    <w:rsid w:val="73B8CC54"/>
    <w:rsid w:val="73FBFEBA"/>
    <w:rsid w:val="7577FDBE"/>
    <w:rsid w:val="75AB94EB"/>
    <w:rsid w:val="767E604A"/>
    <w:rsid w:val="767F435C"/>
    <w:rsid w:val="76FDD24E"/>
    <w:rsid w:val="771F6AF1"/>
    <w:rsid w:val="772E727B"/>
    <w:rsid w:val="775FBB78"/>
    <w:rsid w:val="777FF04B"/>
    <w:rsid w:val="77CE1766"/>
    <w:rsid w:val="77DF9424"/>
    <w:rsid w:val="77F7525B"/>
    <w:rsid w:val="797E0297"/>
    <w:rsid w:val="79DBAC83"/>
    <w:rsid w:val="7A272E77"/>
    <w:rsid w:val="7A2FC12F"/>
    <w:rsid w:val="7AFDEA92"/>
    <w:rsid w:val="7AFFC8DA"/>
    <w:rsid w:val="7B0F6D18"/>
    <w:rsid w:val="7B3ADF54"/>
    <w:rsid w:val="7B5D32EC"/>
    <w:rsid w:val="7B5F96EB"/>
    <w:rsid w:val="7B7B048A"/>
    <w:rsid w:val="7B7FF8F9"/>
    <w:rsid w:val="7B9FB72D"/>
    <w:rsid w:val="7BAE4F5E"/>
    <w:rsid w:val="7BDA4DE6"/>
    <w:rsid w:val="7BDC9720"/>
    <w:rsid w:val="7BDD8241"/>
    <w:rsid w:val="7BF1914C"/>
    <w:rsid w:val="7BFE3456"/>
    <w:rsid w:val="7BFF1755"/>
    <w:rsid w:val="7C7ED1C0"/>
    <w:rsid w:val="7C7F6B58"/>
    <w:rsid w:val="7CED7CFF"/>
    <w:rsid w:val="7CFEC8DF"/>
    <w:rsid w:val="7D7F5311"/>
    <w:rsid w:val="7D7F7CD5"/>
    <w:rsid w:val="7DCD66B0"/>
    <w:rsid w:val="7DDE1C7E"/>
    <w:rsid w:val="7DDF1BDE"/>
    <w:rsid w:val="7DEF6636"/>
    <w:rsid w:val="7DF93357"/>
    <w:rsid w:val="7DFF4070"/>
    <w:rsid w:val="7DFF455C"/>
    <w:rsid w:val="7DFF7DCC"/>
    <w:rsid w:val="7E505D0D"/>
    <w:rsid w:val="7EAF1118"/>
    <w:rsid w:val="7EB7818D"/>
    <w:rsid w:val="7EBF8A09"/>
    <w:rsid w:val="7ED5E6E2"/>
    <w:rsid w:val="7EDDC786"/>
    <w:rsid w:val="7EFE968C"/>
    <w:rsid w:val="7EFF2ADF"/>
    <w:rsid w:val="7EFF569F"/>
    <w:rsid w:val="7EFFA333"/>
    <w:rsid w:val="7EFFB924"/>
    <w:rsid w:val="7F578BA6"/>
    <w:rsid w:val="7F59A411"/>
    <w:rsid w:val="7F5A6CF0"/>
    <w:rsid w:val="7F5DC7EE"/>
    <w:rsid w:val="7F7A412D"/>
    <w:rsid w:val="7F7D0596"/>
    <w:rsid w:val="7F7F7823"/>
    <w:rsid w:val="7F9F8498"/>
    <w:rsid w:val="7FA7D78B"/>
    <w:rsid w:val="7FAA0093"/>
    <w:rsid w:val="7FAEED1E"/>
    <w:rsid w:val="7FAF2A29"/>
    <w:rsid w:val="7FB64FFA"/>
    <w:rsid w:val="7FBB1B19"/>
    <w:rsid w:val="7FCBCDCA"/>
    <w:rsid w:val="7FD3526B"/>
    <w:rsid w:val="7FDB9FCC"/>
    <w:rsid w:val="7FDF1B7E"/>
    <w:rsid w:val="7FEBF2C5"/>
    <w:rsid w:val="7FECDB76"/>
    <w:rsid w:val="7FEFB3B5"/>
    <w:rsid w:val="7FEFC4C2"/>
    <w:rsid w:val="7FF36C5A"/>
    <w:rsid w:val="7FF4014A"/>
    <w:rsid w:val="7FF5FF03"/>
    <w:rsid w:val="7FF6875B"/>
    <w:rsid w:val="7FF92355"/>
    <w:rsid w:val="7FFB74B6"/>
    <w:rsid w:val="7FFCC90C"/>
    <w:rsid w:val="7FFDBDE1"/>
    <w:rsid w:val="85FE53B9"/>
    <w:rsid w:val="8B61BAAD"/>
    <w:rsid w:val="8CFE9CEE"/>
    <w:rsid w:val="8FC792F0"/>
    <w:rsid w:val="96EF6693"/>
    <w:rsid w:val="97ADE294"/>
    <w:rsid w:val="97F72D1C"/>
    <w:rsid w:val="97FF3345"/>
    <w:rsid w:val="9B676471"/>
    <w:rsid w:val="9C7FECAA"/>
    <w:rsid w:val="9E325D19"/>
    <w:rsid w:val="9F96165D"/>
    <w:rsid w:val="9FD130FE"/>
    <w:rsid w:val="9FFBDE66"/>
    <w:rsid w:val="9FFF58A2"/>
    <w:rsid w:val="9FFFC323"/>
    <w:rsid w:val="A65782D3"/>
    <w:rsid w:val="AADE23C0"/>
    <w:rsid w:val="AB7F0691"/>
    <w:rsid w:val="ABF157F6"/>
    <w:rsid w:val="AED14F7D"/>
    <w:rsid w:val="AF7DF0F0"/>
    <w:rsid w:val="AF7E6045"/>
    <w:rsid w:val="AF7FB625"/>
    <w:rsid w:val="AFCD91DE"/>
    <w:rsid w:val="AFDE3517"/>
    <w:rsid w:val="AFFF9A5C"/>
    <w:rsid w:val="B1FF66E7"/>
    <w:rsid w:val="B3CC1C9D"/>
    <w:rsid w:val="B3F5B9F3"/>
    <w:rsid w:val="B3FB041C"/>
    <w:rsid w:val="B54DD865"/>
    <w:rsid w:val="B6FFCD79"/>
    <w:rsid w:val="B71C174E"/>
    <w:rsid w:val="B7BCAEE3"/>
    <w:rsid w:val="B7DFFAAE"/>
    <w:rsid w:val="B9BBD5FA"/>
    <w:rsid w:val="BA7B23C6"/>
    <w:rsid w:val="BAAFA078"/>
    <w:rsid w:val="BBBF9F16"/>
    <w:rsid w:val="BBFFA894"/>
    <w:rsid w:val="BD8772B7"/>
    <w:rsid w:val="BE7BB95D"/>
    <w:rsid w:val="BE7FD5BE"/>
    <w:rsid w:val="BECB4D84"/>
    <w:rsid w:val="BEDF9348"/>
    <w:rsid w:val="BF7FDACC"/>
    <w:rsid w:val="BFAF8AB1"/>
    <w:rsid w:val="BFB50467"/>
    <w:rsid w:val="BFC61376"/>
    <w:rsid w:val="BFF8A6B2"/>
    <w:rsid w:val="BFFD5382"/>
    <w:rsid w:val="BFFE4CBA"/>
    <w:rsid w:val="C2FF4789"/>
    <w:rsid w:val="C5FFA0B6"/>
    <w:rsid w:val="C7BF8EF5"/>
    <w:rsid w:val="CB6F95E9"/>
    <w:rsid w:val="CBA3595A"/>
    <w:rsid w:val="CDBEA88F"/>
    <w:rsid w:val="CFFBA8D5"/>
    <w:rsid w:val="CFFF7184"/>
    <w:rsid w:val="CFFF7ACA"/>
    <w:rsid w:val="D1538C96"/>
    <w:rsid w:val="D23FD51B"/>
    <w:rsid w:val="D36E03C2"/>
    <w:rsid w:val="D6FFE771"/>
    <w:rsid w:val="D77439D8"/>
    <w:rsid w:val="D7E97FCD"/>
    <w:rsid w:val="D97B9B1D"/>
    <w:rsid w:val="D9EB72CB"/>
    <w:rsid w:val="D9F15506"/>
    <w:rsid w:val="DB3DE2E6"/>
    <w:rsid w:val="DBFB8C92"/>
    <w:rsid w:val="DC77CD97"/>
    <w:rsid w:val="DEDDA3F9"/>
    <w:rsid w:val="DEE62020"/>
    <w:rsid w:val="DEF3B499"/>
    <w:rsid w:val="DF77BBD7"/>
    <w:rsid w:val="DF7E9564"/>
    <w:rsid w:val="DFB63CD0"/>
    <w:rsid w:val="DFB7EBE2"/>
    <w:rsid w:val="DFBFE964"/>
    <w:rsid w:val="DFED7EE8"/>
    <w:rsid w:val="DFFF574A"/>
    <w:rsid w:val="E34C28BD"/>
    <w:rsid w:val="E36EDCEF"/>
    <w:rsid w:val="E52FCC52"/>
    <w:rsid w:val="E5DF4087"/>
    <w:rsid w:val="E63E983E"/>
    <w:rsid w:val="E77E9079"/>
    <w:rsid w:val="E7DBB478"/>
    <w:rsid w:val="E7DDDA84"/>
    <w:rsid w:val="E7F2A101"/>
    <w:rsid w:val="E7FF5F14"/>
    <w:rsid w:val="EADFD2E5"/>
    <w:rsid w:val="EAF356F0"/>
    <w:rsid w:val="EAFB4802"/>
    <w:rsid w:val="EB7B9E73"/>
    <w:rsid w:val="EB7E1B01"/>
    <w:rsid w:val="ECDF2B06"/>
    <w:rsid w:val="ECFE340B"/>
    <w:rsid w:val="ED75B2CA"/>
    <w:rsid w:val="ED7B59EA"/>
    <w:rsid w:val="ED997387"/>
    <w:rsid w:val="EDBF5F95"/>
    <w:rsid w:val="EDDF0137"/>
    <w:rsid w:val="EEB44E26"/>
    <w:rsid w:val="EEDEAF0F"/>
    <w:rsid w:val="EEF385FF"/>
    <w:rsid w:val="EEFFCE12"/>
    <w:rsid w:val="EF47C15C"/>
    <w:rsid w:val="EF5F0FBA"/>
    <w:rsid w:val="EF7B6A0C"/>
    <w:rsid w:val="EF9F50E4"/>
    <w:rsid w:val="EFB9D215"/>
    <w:rsid w:val="EFBB7F75"/>
    <w:rsid w:val="EFBFA2F2"/>
    <w:rsid w:val="EFC74DF4"/>
    <w:rsid w:val="EFF74B69"/>
    <w:rsid w:val="EFF7C315"/>
    <w:rsid w:val="F3BEB736"/>
    <w:rsid w:val="F3FF80AC"/>
    <w:rsid w:val="F47CC8FD"/>
    <w:rsid w:val="F4AC4CF7"/>
    <w:rsid w:val="F4BF7E04"/>
    <w:rsid w:val="F4EF3170"/>
    <w:rsid w:val="F5AE0DB5"/>
    <w:rsid w:val="F5BFEB3A"/>
    <w:rsid w:val="F5F566BD"/>
    <w:rsid w:val="F6B74DDB"/>
    <w:rsid w:val="F6CB93D0"/>
    <w:rsid w:val="F6FF8DC6"/>
    <w:rsid w:val="F74F3A1E"/>
    <w:rsid w:val="F76F5DC7"/>
    <w:rsid w:val="F79EF3EE"/>
    <w:rsid w:val="F7F3402B"/>
    <w:rsid w:val="F7FC2A72"/>
    <w:rsid w:val="F7FFA275"/>
    <w:rsid w:val="F7FFFA7C"/>
    <w:rsid w:val="F97FDCC0"/>
    <w:rsid w:val="F9AF74B7"/>
    <w:rsid w:val="F9DF042A"/>
    <w:rsid w:val="F9DFAB21"/>
    <w:rsid w:val="FA6FD92F"/>
    <w:rsid w:val="FAEA78E4"/>
    <w:rsid w:val="FAF62B3F"/>
    <w:rsid w:val="FAF7A9C1"/>
    <w:rsid w:val="FB3D0921"/>
    <w:rsid w:val="FB3F3A1F"/>
    <w:rsid w:val="FB5E66DD"/>
    <w:rsid w:val="FBE5CB23"/>
    <w:rsid w:val="FBEFB268"/>
    <w:rsid w:val="FBFF3325"/>
    <w:rsid w:val="FC2DC45A"/>
    <w:rsid w:val="FC7B7A55"/>
    <w:rsid w:val="FCD7F0BB"/>
    <w:rsid w:val="FCE32077"/>
    <w:rsid w:val="FCEF497A"/>
    <w:rsid w:val="FCFF2937"/>
    <w:rsid w:val="FD3BB78C"/>
    <w:rsid w:val="FD5758F3"/>
    <w:rsid w:val="FD77FD86"/>
    <w:rsid w:val="FDDF3D44"/>
    <w:rsid w:val="FDE7357D"/>
    <w:rsid w:val="FDEAD78A"/>
    <w:rsid w:val="FDEFD121"/>
    <w:rsid w:val="FDF3506D"/>
    <w:rsid w:val="FDF742C9"/>
    <w:rsid w:val="FDFE3A94"/>
    <w:rsid w:val="FDFED778"/>
    <w:rsid w:val="FDFF8C16"/>
    <w:rsid w:val="FDFFD9DD"/>
    <w:rsid w:val="FE736CBD"/>
    <w:rsid w:val="FECF9741"/>
    <w:rsid w:val="FED6DE95"/>
    <w:rsid w:val="FED70782"/>
    <w:rsid w:val="FEDBDEC6"/>
    <w:rsid w:val="FEDF5F63"/>
    <w:rsid w:val="FEE65AE1"/>
    <w:rsid w:val="FEED7F17"/>
    <w:rsid w:val="FEEEF26C"/>
    <w:rsid w:val="FEFDD6AE"/>
    <w:rsid w:val="FF3D5024"/>
    <w:rsid w:val="FF57B4E6"/>
    <w:rsid w:val="FF6F39FB"/>
    <w:rsid w:val="FF717B31"/>
    <w:rsid w:val="FF7BE2C3"/>
    <w:rsid w:val="FF7F0D62"/>
    <w:rsid w:val="FF7F66D8"/>
    <w:rsid w:val="FF9D399F"/>
    <w:rsid w:val="FFA7484B"/>
    <w:rsid w:val="FFA78F7F"/>
    <w:rsid w:val="FFB9D5EF"/>
    <w:rsid w:val="FFBD9EC2"/>
    <w:rsid w:val="FFBF3C81"/>
    <w:rsid w:val="FFCF5F7C"/>
    <w:rsid w:val="FFD71049"/>
    <w:rsid w:val="FFDD2546"/>
    <w:rsid w:val="FFDF5D02"/>
    <w:rsid w:val="FFE9B871"/>
    <w:rsid w:val="FFEFA746"/>
    <w:rsid w:val="FFEFC502"/>
    <w:rsid w:val="FFF6A101"/>
    <w:rsid w:val="FFFC3F3D"/>
    <w:rsid w:val="FFFC9E95"/>
    <w:rsid w:val="FFFD9DD4"/>
    <w:rsid w:val="FFFE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unhideWhenUsed/>
    <w:qFormat/>
    <w:locked/>
    <w:uiPriority w:val="9"/>
    <w:pPr>
      <w:keepNext/>
      <w:keepLines/>
      <w:spacing w:before="260" w:after="260" w:line="413" w:lineRule="auto"/>
      <w:outlineLvl w:val="1"/>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cs="Times New Roman"/>
    </w:rPr>
  </w:style>
  <w:style w:type="paragraph" w:styleId="4">
    <w:name w:val="Body Text"/>
    <w:basedOn w:val="1"/>
    <w:next w:val="1"/>
    <w:qFormat/>
    <w:uiPriority w:val="0"/>
    <w:pPr>
      <w:spacing w:line="360" w:lineRule="auto"/>
    </w:pPr>
    <w:rPr>
      <w:rFonts w:cs="Times New Roman"/>
      <w:bCs/>
      <w:sz w:val="28"/>
      <w:szCs w:val="28"/>
    </w:rPr>
  </w:style>
  <w:style w:type="paragraph" w:styleId="5">
    <w:name w:val="Body Text Indent"/>
    <w:basedOn w:val="1"/>
    <w:qFormat/>
    <w:uiPriority w:val="0"/>
    <w:pPr>
      <w:spacing w:after="120"/>
      <w:ind w:left="420" w:leftChars="200"/>
    </w:pPr>
    <w:rPr>
      <w:rFonts w:ascii="Times New Roman" w:hAnsi="Times New Roman"/>
    </w:rPr>
  </w:style>
  <w:style w:type="paragraph" w:styleId="6">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7">
    <w:name w:val="Plain Text"/>
    <w:basedOn w:val="1"/>
    <w:unhideWhenUsed/>
    <w:qFormat/>
    <w:uiPriority w:val="99"/>
    <w:rPr>
      <w:rFonts w:ascii="宋体" w:hAnsi="Courier New" w:eastAsia="宋体" w:cs="Courier New"/>
      <w:sz w:val="21"/>
      <w:szCs w:val="21"/>
    </w:rPr>
  </w:style>
  <w:style w:type="paragraph" w:styleId="8">
    <w:name w:val="Balloon Text"/>
    <w:basedOn w:val="1"/>
    <w:link w:val="20"/>
    <w:semiHidden/>
    <w:qFormat/>
    <w:uiPriority w:val="0"/>
    <w:rPr>
      <w:sz w:val="18"/>
      <w:szCs w:val="18"/>
    </w:rPr>
  </w:style>
  <w:style w:type="paragraph" w:styleId="9">
    <w:name w:val="footer"/>
    <w:basedOn w:val="1"/>
    <w:next w:val="1"/>
    <w:link w:val="19"/>
    <w:qFormat/>
    <w:uiPriority w:val="0"/>
    <w:pPr>
      <w:tabs>
        <w:tab w:val="center" w:pos="4153"/>
        <w:tab w:val="right" w:pos="8306"/>
      </w:tabs>
      <w:snapToGrid w:val="0"/>
      <w:jc w:val="left"/>
    </w:pPr>
    <w:rPr>
      <w:sz w:val="18"/>
      <w:szCs w:val="18"/>
    </w:rPr>
  </w:style>
  <w:style w:type="paragraph" w:styleId="10">
    <w:name w:val="header"/>
    <w:basedOn w:val="1"/>
    <w:link w:val="21"/>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12"/>
    <w:qFormat/>
    <w:uiPriority w:val="0"/>
    <w:pPr>
      <w:ind w:firstLine="1840"/>
    </w:pPr>
    <w:rPr>
      <w:rFonts w:ascii="Times New Roman" w:hAnsi="Times New Roman" w:eastAsia="宋体" w:cs="Times New Roman"/>
      <w:szCs w:val="24"/>
    </w:rPr>
  </w:style>
  <w:style w:type="paragraph" w:styleId="12">
    <w:name w:val="Body Text First Indent 2"/>
    <w:basedOn w:val="5"/>
    <w:next w:val="1"/>
    <w:qFormat/>
    <w:uiPriority w:val="0"/>
    <w:pPr>
      <w:ind w:firstLine="420" w:firstLineChars="200"/>
    </w:p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Title"/>
    <w:basedOn w:val="1"/>
    <w:next w:val="1"/>
    <w:qFormat/>
    <w:locked/>
    <w:uiPriority w:val="99"/>
    <w:pPr>
      <w:spacing w:before="240" w:after="60"/>
      <w:jc w:val="center"/>
      <w:outlineLvl w:val="0"/>
    </w:pPr>
    <w:rPr>
      <w:rFonts w:ascii="Calibri Light" w:hAnsi="Calibri Light"/>
      <w:b/>
      <w:bCs/>
    </w:rPr>
  </w:style>
  <w:style w:type="character" w:styleId="17">
    <w:name w:val="page number"/>
    <w:qFormat/>
    <w:uiPriority w:val="0"/>
    <w:rPr>
      <w:rFonts w:cs="Times New Roman"/>
    </w:rPr>
  </w:style>
  <w:style w:type="paragraph" w:customStyle="1" w:styleId="18">
    <w:name w:val="_Style 2"/>
    <w:basedOn w:val="1"/>
    <w:qFormat/>
    <w:uiPriority w:val="0"/>
    <w:pPr>
      <w:spacing w:line="351" w:lineRule="atLeast"/>
      <w:ind w:firstLine="623"/>
      <w:textAlignment w:val="baseline"/>
    </w:pPr>
    <w:rPr>
      <w:color w:val="000000"/>
      <w:sz w:val="31"/>
      <w:szCs w:val="31"/>
    </w:rPr>
  </w:style>
  <w:style w:type="character" w:customStyle="1" w:styleId="19">
    <w:name w:val="页脚 Char"/>
    <w:link w:val="9"/>
    <w:qFormat/>
    <w:locked/>
    <w:uiPriority w:val="0"/>
    <w:rPr>
      <w:rFonts w:cs="Times New Roman"/>
      <w:sz w:val="18"/>
      <w:szCs w:val="18"/>
    </w:rPr>
  </w:style>
  <w:style w:type="character" w:customStyle="1" w:styleId="20">
    <w:name w:val="批注框文本 Char"/>
    <w:link w:val="8"/>
    <w:semiHidden/>
    <w:qFormat/>
    <w:locked/>
    <w:uiPriority w:val="0"/>
    <w:rPr>
      <w:rFonts w:cs="Times New Roman"/>
      <w:sz w:val="18"/>
      <w:szCs w:val="18"/>
    </w:rPr>
  </w:style>
  <w:style w:type="character" w:customStyle="1" w:styleId="21">
    <w:name w:val="页眉 Char"/>
    <w:link w:val="10"/>
    <w:semiHidden/>
    <w:qFormat/>
    <w:locked/>
    <w:uiPriority w:val="0"/>
    <w:rPr>
      <w:rFonts w:cs="Times New Roman"/>
      <w:sz w:val="18"/>
      <w:szCs w:val="18"/>
    </w:rPr>
  </w:style>
  <w:style w:type="paragraph" w:customStyle="1" w:styleId="22">
    <w:name w:val="样式1"/>
    <w:basedOn w:val="1"/>
    <w:qFormat/>
    <w:uiPriority w:val="0"/>
    <w:pPr>
      <w:ind w:firstLine="602" w:firstLineChars="200"/>
    </w:pPr>
    <w:rPr>
      <w:rFonts w:ascii="仿宋" w:hAnsi="仿宋" w:eastAsia="仿宋"/>
      <w:sz w:val="30"/>
      <w:szCs w:val="30"/>
    </w:rPr>
  </w:style>
  <w:style w:type="paragraph" w:customStyle="1" w:styleId="23">
    <w:name w:val="列出段落1"/>
    <w:basedOn w:val="1"/>
    <w:qFormat/>
    <w:uiPriority w:val="0"/>
    <w:pPr>
      <w:ind w:firstLine="420" w:firstLineChars="200"/>
    </w:pPr>
  </w:style>
  <w:style w:type="character" w:customStyle="1" w:styleId="2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6189</Words>
  <Characters>258</Characters>
  <Lines>2</Lines>
  <Paragraphs>12</Paragraphs>
  <TotalTime>17</TotalTime>
  <ScaleCrop>false</ScaleCrop>
  <LinksUpToDate>false</LinksUpToDate>
  <CharactersWithSpaces>6435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2021-02-19T15:32:00Z</dcterms:created>
  <dc:creator>祝玮娟</dc:creator>
  <cp:lastModifiedBy>scjuser</cp:lastModifiedBy>
  <cp:lastPrinted>2024-12-29T23:54:00Z</cp:lastPrinted>
  <dcterms:modified xsi:type="dcterms:W3CDTF">2025-01-03T11:06:01Z</dcterms:modified>
  <dc:title>上海市市场监督管理局文件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