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D7B4" w14:textId="084EB3C1" w:rsidR="00C12635" w:rsidRPr="00A83727" w:rsidRDefault="00A83727" w:rsidP="00A83727">
      <w:pPr>
        <w:spacing w:line="360" w:lineRule="auto"/>
        <w:jc w:val="center"/>
        <w:rPr>
          <w:rFonts w:ascii="方正小标宋简体" w:eastAsia="方正小标宋简体" w:hAnsi="Times New Roman" w:cs="Times New Roman"/>
          <w:sz w:val="44"/>
          <w:szCs w:val="44"/>
        </w:rPr>
      </w:pPr>
      <w:r w:rsidRPr="00A83727">
        <w:rPr>
          <w:rFonts w:ascii="方正小标宋简体" w:eastAsia="方正小标宋简体" w:hAnsi="Times New Roman" w:cs="Times New Roman" w:hint="eastAsia"/>
          <w:sz w:val="44"/>
          <w:szCs w:val="44"/>
        </w:rPr>
        <w:t>财政部 税务总局 海关总署</w:t>
      </w:r>
    </w:p>
    <w:p w14:paraId="4E52ABE9" w14:textId="682CD4D3" w:rsidR="00A83727" w:rsidRPr="00A83727" w:rsidRDefault="00A83727" w:rsidP="00A83727">
      <w:pPr>
        <w:spacing w:line="360" w:lineRule="auto"/>
        <w:jc w:val="center"/>
        <w:rPr>
          <w:rFonts w:ascii="方正小标宋简体" w:eastAsia="方正小标宋简体" w:hAnsi="Times New Roman" w:cs="Times New Roman"/>
          <w:sz w:val="44"/>
          <w:szCs w:val="44"/>
        </w:rPr>
      </w:pPr>
      <w:r w:rsidRPr="00A83727">
        <w:rPr>
          <w:rFonts w:ascii="方正小标宋简体" w:eastAsia="方正小标宋简体" w:hAnsi="Times New Roman" w:cs="Times New Roman" w:hint="eastAsia"/>
          <w:sz w:val="44"/>
          <w:szCs w:val="44"/>
        </w:rPr>
        <w:t>关于深化增值税改革有关政策的公告</w:t>
      </w:r>
    </w:p>
    <w:p w14:paraId="1AED7E38" w14:textId="77777777" w:rsidR="00A83727" w:rsidRDefault="00A83727">
      <w:pPr>
        <w:rPr>
          <w:rFonts w:ascii="微软雅黑" w:eastAsia="微软雅黑" w:hAnsi="微软雅黑"/>
          <w:b/>
          <w:bCs/>
          <w:color w:val="333333"/>
          <w:sz w:val="30"/>
          <w:szCs w:val="30"/>
          <w:shd w:val="clear" w:color="auto" w:fill="FFFFFF"/>
        </w:rPr>
      </w:pPr>
    </w:p>
    <w:p w14:paraId="7D486239" w14:textId="77777777" w:rsidR="00A83727" w:rsidRPr="00A83727" w:rsidRDefault="00A83727" w:rsidP="00A83727">
      <w:pPr>
        <w:spacing w:line="560" w:lineRule="exact"/>
        <w:jc w:val="left"/>
        <w:rPr>
          <w:rFonts w:ascii="楷体" w:eastAsia="楷体" w:hAnsi="楷体" w:cs="Times New Roman"/>
          <w:sz w:val="28"/>
          <w:szCs w:val="28"/>
        </w:rPr>
      </w:pPr>
      <w:r w:rsidRPr="00A83727">
        <w:rPr>
          <w:rFonts w:ascii="楷体" w:eastAsia="楷体" w:hAnsi="楷体" w:cs="Times New Roman"/>
          <w:sz w:val="28"/>
          <w:szCs w:val="28"/>
        </w:rPr>
        <w:t>文号：财政部 税务总局 海关总署公告2019年第39号</w:t>
      </w:r>
    </w:p>
    <w:p w14:paraId="0FCD9A7B" w14:textId="77777777" w:rsidR="00A83727" w:rsidRPr="00A83727" w:rsidRDefault="00A83727" w:rsidP="00A83727">
      <w:pPr>
        <w:spacing w:line="560" w:lineRule="exact"/>
        <w:jc w:val="left"/>
        <w:rPr>
          <w:rFonts w:ascii="楷体" w:eastAsia="楷体" w:hAnsi="楷体" w:cs="Times New Roman"/>
          <w:sz w:val="28"/>
          <w:szCs w:val="28"/>
        </w:rPr>
      </w:pPr>
      <w:r w:rsidRPr="00A83727">
        <w:rPr>
          <w:rFonts w:ascii="楷体" w:eastAsia="楷体" w:hAnsi="楷体" w:cs="Times New Roman"/>
          <w:sz w:val="28"/>
          <w:szCs w:val="28"/>
        </w:rPr>
        <w:t>发文单位：财政部 税务总局 海关总署</w:t>
      </w:r>
    </w:p>
    <w:p w14:paraId="30B5F63A" w14:textId="36F46211" w:rsidR="00A83727" w:rsidRDefault="00A83727" w:rsidP="00A83727">
      <w:pPr>
        <w:spacing w:line="560" w:lineRule="exact"/>
        <w:jc w:val="left"/>
        <w:rPr>
          <w:rFonts w:ascii="楷体" w:eastAsia="楷体" w:hAnsi="楷体" w:cs="Times New Roman"/>
          <w:sz w:val="28"/>
          <w:szCs w:val="28"/>
        </w:rPr>
      </w:pPr>
      <w:r w:rsidRPr="00A83727">
        <w:rPr>
          <w:rFonts w:ascii="楷体" w:eastAsia="楷体" w:hAnsi="楷体" w:cs="Times New Roman"/>
          <w:sz w:val="28"/>
          <w:szCs w:val="28"/>
        </w:rPr>
        <w:t>发文日期：2019-03-20</w:t>
      </w:r>
    </w:p>
    <w:p w14:paraId="5862FA65" w14:textId="77777777" w:rsidR="00A83727" w:rsidRPr="00A83727" w:rsidRDefault="00A83727" w:rsidP="00A83727">
      <w:pPr>
        <w:spacing w:line="560" w:lineRule="exact"/>
        <w:jc w:val="left"/>
        <w:rPr>
          <w:rFonts w:ascii="楷体" w:eastAsia="楷体" w:hAnsi="楷体" w:cs="Times New Roman"/>
          <w:sz w:val="28"/>
          <w:szCs w:val="28"/>
        </w:rPr>
      </w:pPr>
    </w:p>
    <w:p w14:paraId="78E8E964"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为贯彻落实党中央、国务院决策部署，推进增值税实质性减税，现将2019年增值税改革有关事项公告如下： </w:t>
      </w:r>
    </w:p>
    <w:p w14:paraId="1A4E8DAD"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一、增值税一般纳税人（以下称纳税人）发生增值税应税销售行为或者进口货物，原适用16%税率的，税率调整为13%；原适用10%税率的，税率调整为9%。 </w:t>
      </w:r>
    </w:p>
    <w:p w14:paraId="529DF280"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二、纳税人购进农产品，原适用10%扣除率的，扣除率调整为9%。纳税人购进用于生产或者委托加工13%税率货物的农产品，按照10%的扣除率计算进项税额。 </w:t>
      </w:r>
    </w:p>
    <w:p w14:paraId="106CEB60"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三、原适用16%税率且出口退税率为16%的出口货物劳务，出口退税率调整为13%；原适用10%税率且出口退税率为10%的出口货物、跨境应税行为，出口退税率调整为9%。 </w:t>
      </w:r>
    </w:p>
    <w:p w14:paraId="3D8E714E"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lastRenderedPageBreak/>
        <w:t xml:space="preserve">　　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w:t>
      </w:r>
      <w:proofErr w:type="gramStart"/>
      <w:r w:rsidRPr="00A83727">
        <w:rPr>
          <w:rFonts w:ascii="仿宋_GB2312" w:eastAsia="仿宋_GB2312" w:hAnsi="Times New Roman" w:cs="Times New Roman"/>
          <w:kern w:val="2"/>
          <w:sz w:val="32"/>
          <w:szCs w:val="32"/>
        </w:rPr>
        <w:t>零参与免</w:t>
      </w:r>
      <w:proofErr w:type="gramEnd"/>
      <w:r w:rsidRPr="00A83727">
        <w:rPr>
          <w:rFonts w:ascii="仿宋_GB2312" w:eastAsia="仿宋_GB2312" w:hAnsi="Times New Roman" w:cs="Times New Roman"/>
          <w:kern w:val="2"/>
          <w:sz w:val="32"/>
          <w:szCs w:val="32"/>
        </w:rPr>
        <w:t xml:space="preserve">抵退税计算。 </w:t>
      </w:r>
    </w:p>
    <w:p w14:paraId="1C9D965A"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 </w:t>
      </w:r>
    </w:p>
    <w:p w14:paraId="649DCC71"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四、适用13%税率的境外旅客购物离境退税物品，退税率为11%；适用9%税率的境外旅客购物离境退税物品，退税率为8%。 </w:t>
      </w:r>
    </w:p>
    <w:p w14:paraId="14B8EB69"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2019年6月30日前，按调整前税率征收增值税的，执行调整前的退税率；按调整后税率征收增值税的，执行调整后的退税率。 </w:t>
      </w:r>
    </w:p>
    <w:p w14:paraId="152BE540"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lastRenderedPageBreak/>
        <w:t xml:space="preserve">　　退税率的执行时间，以退税物品增值税普通发票的开具日期为准。 </w:t>
      </w:r>
    </w:p>
    <w:p w14:paraId="50069460"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五、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 </w:t>
      </w:r>
    </w:p>
    <w:p w14:paraId="277715B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六、纳税人购进国内旅客运输服务，其进项税额允许从销项税额中抵扣。 </w:t>
      </w:r>
    </w:p>
    <w:p w14:paraId="1E8819F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（一）纳税人未取得增值税专用发票的，</w:t>
      </w:r>
      <w:proofErr w:type="gramStart"/>
      <w:r w:rsidRPr="00A83727">
        <w:rPr>
          <w:rFonts w:ascii="仿宋_GB2312" w:eastAsia="仿宋_GB2312" w:hAnsi="Times New Roman" w:cs="Times New Roman"/>
          <w:kern w:val="2"/>
          <w:sz w:val="32"/>
          <w:szCs w:val="32"/>
        </w:rPr>
        <w:t>暂按照</w:t>
      </w:r>
      <w:proofErr w:type="gramEnd"/>
      <w:r w:rsidRPr="00A83727">
        <w:rPr>
          <w:rFonts w:ascii="仿宋_GB2312" w:eastAsia="仿宋_GB2312" w:hAnsi="Times New Roman" w:cs="Times New Roman"/>
          <w:kern w:val="2"/>
          <w:sz w:val="32"/>
          <w:szCs w:val="32"/>
        </w:rPr>
        <w:t xml:space="preserve">以下规定确定进项税额： </w:t>
      </w:r>
    </w:p>
    <w:p w14:paraId="665808F1"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1.取得增值税电子普通发票的，为发票上注明的税额； </w:t>
      </w:r>
    </w:p>
    <w:p w14:paraId="5A5BEFF3"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2.取得注明旅客身份信息的航空运输电子客票行程单的，为按照下列公式计算进项税额： </w:t>
      </w:r>
    </w:p>
    <w:p w14:paraId="1411146C"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航空旅客运输进项税额=（票价+燃油附加费）</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（1+9%）</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 xml:space="preserve">9% </w:t>
      </w:r>
    </w:p>
    <w:p w14:paraId="6E493039"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3.取得注明旅客身份信息的铁路车票的，为按照下列公式计算的进项税额： </w:t>
      </w:r>
    </w:p>
    <w:p w14:paraId="08CBF55E"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铁路旅客运输进项税额=票面金额</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（1+9%）</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 xml:space="preserve">9% </w:t>
      </w:r>
    </w:p>
    <w:p w14:paraId="1390D7F7"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lastRenderedPageBreak/>
        <w:t xml:space="preserve">　　4.取得注明旅客身份信息的公路、水路等其他客票的，按照下列公式计算进项税额： </w:t>
      </w:r>
    </w:p>
    <w:p w14:paraId="36B9D6C7"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公路、水路等其他旅客运输进项税额=票面金额</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（1+3%）</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 xml:space="preserve">3% </w:t>
      </w:r>
    </w:p>
    <w:p w14:paraId="1271650A"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（二）《营业税改征增值税试点实施办法》（财税〔2016〕36号印发）第二十七条第（六）项和《营业税改征增值税试点有关事项的规定》（财税〔2016〕36号印发）第二条第（一）项第5点中</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购进的旅客运输服务、贷款服务、餐饮服务、居民日常服务和娱乐服务</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修改为</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购进的贷款服务、餐饮服务、居民日常服务和娱乐服务</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 xml:space="preserve">。 </w:t>
      </w:r>
    </w:p>
    <w:p w14:paraId="233DF4D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七、自2019年4月1日至2021年12月31日，允许生产、生活性服务业纳税人按照当期可抵扣进项税额加计10%，抵减应纳税额（以下称加计抵减政策）。 </w:t>
      </w:r>
    </w:p>
    <w:p w14:paraId="1AE5DB0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一）本公告所称生产、生活性服务业纳税人，是指提供邮政服务、电信服务、现代服务、生活服务（以下称四项服务）取得的销售额占全部销售额的比重超过50%的纳税人。四项服务的具体范围按照《销售服务、无形资产、不动产注释》（财税〔2016〕36号印发）执行。 </w:t>
      </w:r>
    </w:p>
    <w:p w14:paraId="7F0F9079"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2019年3月31日前设立的纳税人，自2018年4月至2019年3月期间的销售额(经营期不满12个月的，按照</w:t>
      </w:r>
      <w:r w:rsidRPr="00A83727">
        <w:rPr>
          <w:rFonts w:ascii="仿宋_GB2312" w:eastAsia="仿宋_GB2312" w:hAnsi="Times New Roman" w:cs="Times New Roman"/>
          <w:kern w:val="2"/>
          <w:sz w:val="32"/>
          <w:szCs w:val="32"/>
        </w:rPr>
        <w:lastRenderedPageBreak/>
        <w:t xml:space="preserve">实际经营期的销售额)符合上述规定条件的，自2019年4月1日起适用加计抵减政策。 </w:t>
      </w:r>
    </w:p>
    <w:p w14:paraId="13266D5E"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2019年4月1日后设立的纳税人，自设立之日起3个月的销售额符合上述规定条件的，自登记为一般纳税人之日起适用加计抵减政策。 </w:t>
      </w:r>
    </w:p>
    <w:p w14:paraId="443E68EB"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纳税人确定适用加计抵减政策后，当年内不再调整，以后年度是否适用，根据上年度销售额计算确定。 </w:t>
      </w:r>
    </w:p>
    <w:p w14:paraId="294BDAEF"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纳税人可计提但未计提的加计抵减额，可在确定适用加计抵减政策当期一并计提。 </w:t>
      </w:r>
    </w:p>
    <w:p w14:paraId="5E1ADB50"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（二）纳税人应按照当期可抵扣进项税额的10%计提当期加计抵减额。按照现行规定不得从销项税额中抵扣的进项税额，</w:t>
      </w:r>
      <w:proofErr w:type="gramStart"/>
      <w:r w:rsidRPr="00A83727">
        <w:rPr>
          <w:rFonts w:ascii="仿宋_GB2312" w:eastAsia="仿宋_GB2312" w:hAnsi="Times New Roman" w:cs="Times New Roman"/>
          <w:kern w:val="2"/>
          <w:sz w:val="32"/>
          <w:szCs w:val="32"/>
        </w:rPr>
        <w:t>不</w:t>
      </w:r>
      <w:proofErr w:type="gramEnd"/>
      <w:r w:rsidRPr="00A83727">
        <w:rPr>
          <w:rFonts w:ascii="仿宋_GB2312" w:eastAsia="仿宋_GB2312" w:hAnsi="Times New Roman" w:cs="Times New Roman"/>
          <w:kern w:val="2"/>
          <w:sz w:val="32"/>
          <w:szCs w:val="32"/>
        </w:rPr>
        <w:t xml:space="preserve">得计提加计抵减额；已计提加计抵减额的进项税额，按规定作进项税额转出的，应在进项税额转出当期，相应调减加计抵减额。计算公式如下： </w:t>
      </w:r>
    </w:p>
    <w:p w14:paraId="475C79C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当期计提加计抵减额=当期可抵扣进项税额</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 xml:space="preserve">10% </w:t>
      </w:r>
    </w:p>
    <w:p w14:paraId="41B7DE5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当期可抵减加计抵减额=上期末加计抵减额余额+当期计提加计抵减额-当期调减加计抵减额 </w:t>
      </w:r>
    </w:p>
    <w:p w14:paraId="45D8B745"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（三）纳税人应按照现行规定计算一般计税方法下的应纳税额（以下称抵减前的应纳税额）后，区分以下情形加计抵减： </w:t>
      </w:r>
    </w:p>
    <w:p w14:paraId="25FBB6D9"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lastRenderedPageBreak/>
        <w:t xml:space="preserve">　　1.抵减前的应纳税额等于零的，当期可抵减加计抵减额全部结转下期抵减； </w:t>
      </w:r>
    </w:p>
    <w:p w14:paraId="44A2621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2.抵减前的应纳税额大于零，且大于当期可抵减加计抵减额的，当期可抵减加计抵减额全额从抵减前的应纳税额中抵减； </w:t>
      </w:r>
    </w:p>
    <w:p w14:paraId="24993212"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3.抵减前的应纳税额大于零，且小于或等于当期可抵减加计抵减额的，以当期可抵减加计抵减额抵减应纳税额至零。未抵减完的当期可抵减加计抵减额，结转下期继续抵减。 </w:t>
      </w:r>
    </w:p>
    <w:p w14:paraId="242294BD"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（四）纳税人出口货物劳务、发生跨境应税行为不适用加计抵减政策，其对应的进项税额</w:t>
      </w:r>
      <w:proofErr w:type="gramStart"/>
      <w:r w:rsidRPr="00A83727">
        <w:rPr>
          <w:rFonts w:ascii="仿宋_GB2312" w:eastAsia="仿宋_GB2312" w:hAnsi="Times New Roman" w:cs="Times New Roman"/>
          <w:kern w:val="2"/>
          <w:sz w:val="32"/>
          <w:szCs w:val="32"/>
        </w:rPr>
        <w:t>不</w:t>
      </w:r>
      <w:proofErr w:type="gramEnd"/>
      <w:r w:rsidRPr="00A83727">
        <w:rPr>
          <w:rFonts w:ascii="仿宋_GB2312" w:eastAsia="仿宋_GB2312" w:hAnsi="Times New Roman" w:cs="Times New Roman"/>
          <w:kern w:val="2"/>
          <w:sz w:val="32"/>
          <w:szCs w:val="32"/>
        </w:rPr>
        <w:t xml:space="preserve">得计提加计抵减额。 </w:t>
      </w:r>
    </w:p>
    <w:p w14:paraId="5DB0D2FA"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纳税人兼营出口货物劳务、发生跨境应税行为且无法划分</w:t>
      </w:r>
      <w:proofErr w:type="gramStart"/>
      <w:r w:rsidRPr="00A83727">
        <w:rPr>
          <w:rFonts w:ascii="仿宋_GB2312" w:eastAsia="仿宋_GB2312" w:hAnsi="Times New Roman" w:cs="Times New Roman"/>
          <w:kern w:val="2"/>
          <w:sz w:val="32"/>
          <w:szCs w:val="32"/>
        </w:rPr>
        <w:t>不</w:t>
      </w:r>
      <w:proofErr w:type="gramEnd"/>
      <w:r w:rsidRPr="00A83727">
        <w:rPr>
          <w:rFonts w:ascii="仿宋_GB2312" w:eastAsia="仿宋_GB2312" w:hAnsi="Times New Roman" w:cs="Times New Roman"/>
          <w:kern w:val="2"/>
          <w:sz w:val="32"/>
          <w:szCs w:val="32"/>
        </w:rPr>
        <w:t xml:space="preserve">得计提加计抵减额的进项税额，按照以下公式计算： </w:t>
      </w:r>
    </w:p>
    <w:p w14:paraId="639AA320"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w:t>
      </w:r>
      <w:proofErr w:type="gramStart"/>
      <w:r w:rsidRPr="00A83727">
        <w:rPr>
          <w:rFonts w:ascii="仿宋_GB2312" w:eastAsia="仿宋_GB2312" w:hAnsi="Times New Roman" w:cs="Times New Roman"/>
          <w:kern w:val="2"/>
          <w:sz w:val="32"/>
          <w:szCs w:val="32"/>
        </w:rPr>
        <w:t>不</w:t>
      </w:r>
      <w:proofErr w:type="gramEnd"/>
      <w:r w:rsidRPr="00A83727">
        <w:rPr>
          <w:rFonts w:ascii="仿宋_GB2312" w:eastAsia="仿宋_GB2312" w:hAnsi="Times New Roman" w:cs="Times New Roman"/>
          <w:kern w:val="2"/>
          <w:sz w:val="32"/>
          <w:szCs w:val="32"/>
        </w:rPr>
        <w:t>得计提加计抵减额的进项税额＝当期无法划分的全部进项税额</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当期出口货物劳务和发生跨境应税行为的销售额</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 xml:space="preserve">当期全部销售额 </w:t>
      </w:r>
    </w:p>
    <w:p w14:paraId="3E70E874"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（五）纳税人应单独核算加计抵减额的计提、抵减、调减、结余等变动情况。骗取适用加计抵减政策或</w:t>
      </w:r>
      <w:proofErr w:type="gramStart"/>
      <w:r w:rsidRPr="00A83727">
        <w:rPr>
          <w:rFonts w:ascii="仿宋_GB2312" w:eastAsia="仿宋_GB2312" w:hAnsi="Times New Roman" w:cs="Times New Roman"/>
          <w:kern w:val="2"/>
          <w:sz w:val="32"/>
          <w:szCs w:val="32"/>
        </w:rPr>
        <w:t>虚增加</w:t>
      </w:r>
      <w:r w:rsidRPr="00A83727">
        <w:rPr>
          <w:rFonts w:ascii="仿宋_GB2312" w:eastAsia="仿宋_GB2312" w:hAnsi="Times New Roman" w:cs="Times New Roman"/>
          <w:kern w:val="2"/>
          <w:sz w:val="32"/>
          <w:szCs w:val="32"/>
        </w:rPr>
        <w:lastRenderedPageBreak/>
        <w:t>计</w:t>
      </w:r>
      <w:proofErr w:type="gramEnd"/>
      <w:r w:rsidRPr="00A83727">
        <w:rPr>
          <w:rFonts w:ascii="仿宋_GB2312" w:eastAsia="仿宋_GB2312" w:hAnsi="Times New Roman" w:cs="Times New Roman"/>
          <w:kern w:val="2"/>
          <w:sz w:val="32"/>
          <w:szCs w:val="32"/>
        </w:rPr>
        <w:t xml:space="preserve">抵减额的，按照《中华人民共和国税收征收管理法》等有关规定处理。 </w:t>
      </w:r>
    </w:p>
    <w:p w14:paraId="0C927E37"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（六）加计抵减政策执行到期后，纳税人不再计提加计抵减额，结余的加计抵减额停止抵减。 </w:t>
      </w:r>
    </w:p>
    <w:p w14:paraId="6B00AFD0"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八、自2019年4月1日起，试行增值税期末留抵税额退税制度。 </w:t>
      </w:r>
    </w:p>
    <w:p w14:paraId="1465A25F"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（一）同时符合以下条件的纳税人，可以向主管税务机关申请退还增量留抵税额： </w:t>
      </w:r>
    </w:p>
    <w:p w14:paraId="1A12C7E4"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1.自2019年4月税款所属期起，连续六个月（按季纳税的，连续两个季度）增量留抵税额均大于零，且第六个月增量留抵税额不低于50万元； </w:t>
      </w:r>
    </w:p>
    <w:p w14:paraId="5D8B4434"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2.纳税信用等级为A级或者B级； </w:t>
      </w:r>
    </w:p>
    <w:p w14:paraId="42C45894"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3.申请退税前36个月未发生骗取留抵退税、出口退税或虚开增值税专用发票情形的； </w:t>
      </w:r>
    </w:p>
    <w:p w14:paraId="01870FDE"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4.申请退税前36个月未因偷税被税务机关处罚两次及以上的； </w:t>
      </w:r>
    </w:p>
    <w:p w14:paraId="357872EB"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5.自2019年4月1日起未享受即征即退、先征后返（退）政策的。 </w:t>
      </w:r>
    </w:p>
    <w:p w14:paraId="68DD6ED9"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（二）本公告所称增量留抵税额，是指与2019年3月底相比新增加的期末留抵税额。 </w:t>
      </w:r>
    </w:p>
    <w:p w14:paraId="11F25918"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lastRenderedPageBreak/>
        <w:t xml:space="preserve">　　（三）纳税人当期允许退还的增量留抵税额，按照以下公式计算： </w:t>
      </w:r>
    </w:p>
    <w:p w14:paraId="1950B487"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允许退还的增量留抵税额=增量留抵税额</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进项构成比例</w:t>
      </w:r>
      <w:r w:rsidRPr="00A83727">
        <w:rPr>
          <w:rFonts w:ascii="仿宋_GB2312" w:eastAsia="仿宋_GB2312" w:hAnsi="Times New Roman" w:cs="Times New Roman"/>
          <w:kern w:val="2"/>
          <w:sz w:val="32"/>
          <w:szCs w:val="32"/>
        </w:rPr>
        <w:t>×</w:t>
      </w:r>
      <w:r w:rsidRPr="00A83727">
        <w:rPr>
          <w:rFonts w:ascii="仿宋_GB2312" w:eastAsia="仿宋_GB2312" w:hAnsi="Times New Roman" w:cs="Times New Roman"/>
          <w:kern w:val="2"/>
          <w:sz w:val="32"/>
          <w:szCs w:val="32"/>
        </w:rPr>
        <w:t xml:space="preserve">60% </w:t>
      </w:r>
    </w:p>
    <w:p w14:paraId="482A6B78"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 </w:t>
      </w:r>
    </w:p>
    <w:p w14:paraId="1E69BEED"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（四）纳税人应在增值税纳税申报期内，向主管税务机关申请退还留抵税额。 </w:t>
      </w:r>
    </w:p>
    <w:p w14:paraId="59CE45E4"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（五）纳税人出口货物劳务、发生跨境应税行为，适用免抵退税办法的，办理免抵退税后，仍符合本公告规定条件的，可以申请退还留抵税额；适用免退税办法的，相关进项税额不得用于退还留抵税额。 </w:t>
      </w:r>
    </w:p>
    <w:p w14:paraId="595C13B8"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（六）纳税人取得退还的留抵税额后，应相应调减当期留抵税额。按照本条规定再次满足退税条件的，可以继续向主管税务机关申请退还留抵税额，但本条第（一）项第1点规定的连续期间，不得重复计算。 </w:t>
      </w:r>
    </w:p>
    <w:p w14:paraId="3C6D5628"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lastRenderedPageBreak/>
        <w:t xml:space="preserve">　　（七）以虚增进项、虚假申报或其他欺骗手段，骗取留抵退税款的，由税务机关追缴其骗取的退税款，并按照《中华人民共和国税收征收管理法》等有关规定处理。 </w:t>
      </w:r>
    </w:p>
    <w:p w14:paraId="498F0DFA"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（八）退还的增量留抵税额中央、地方分担机制另行通知。 </w:t>
      </w:r>
    </w:p>
    <w:p w14:paraId="10181AAC"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九、本公告自2019年4月1日起执行。 </w:t>
      </w:r>
    </w:p>
    <w:p w14:paraId="07C3ECB7" w14:textId="77777777" w:rsidR="00A83727" w:rsidRPr="00A83727" w:rsidRDefault="00A83727" w:rsidP="00A83727">
      <w:pPr>
        <w:pStyle w:val="a7"/>
        <w:spacing w:before="0" w:beforeAutospacing="0" w:after="150" w:afterAutospacing="0" w:line="360" w:lineRule="auto"/>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特此公告。 </w:t>
      </w:r>
    </w:p>
    <w:p w14:paraId="025CCCC0" w14:textId="77777777" w:rsidR="00A83727" w:rsidRPr="00A83727" w:rsidRDefault="00A83727" w:rsidP="00B27405">
      <w:pPr>
        <w:pStyle w:val="a7"/>
        <w:spacing w:before="0" w:beforeAutospacing="0" w:after="150" w:afterAutospacing="0" w:line="360" w:lineRule="auto"/>
        <w:jc w:val="right"/>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w:t>
      </w:r>
      <w:bookmarkStart w:id="0" w:name="_GoBack"/>
      <w:r w:rsidRPr="00A83727">
        <w:rPr>
          <w:rFonts w:ascii="仿宋_GB2312" w:eastAsia="仿宋_GB2312" w:hAnsi="Times New Roman" w:cs="Times New Roman"/>
          <w:kern w:val="2"/>
          <w:sz w:val="32"/>
          <w:szCs w:val="32"/>
        </w:rPr>
        <w:t xml:space="preserve">财政部　税务总局　海关总署 </w:t>
      </w:r>
    </w:p>
    <w:p w14:paraId="3D2791EE" w14:textId="77777777" w:rsidR="00A83727" w:rsidRPr="00A83727" w:rsidRDefault="00A83727" w:rsidP="00B27405">
      <w:pPr>
        <w:pStyle w:val="a7"/>
        <w:spacing w:before="0" w:beforeAutospacing="0" w:after="150" w:afterAutospacing="0" w:line="360" w:lineRule="auto"/>
        <w:jc w:val="right"/>
        <w:rPr>
          <w:rFonts w:ascii="仿宋_GB2312" w:eastAsia="仿宋_GB2312" w:hAnsi="Times New Roman" w:cs="Times New Roman"/>
          <w:kern w:val="2"/>
          <w:sz w:val="32"/>
          <w:szCs w:val="32"/>
        </w:rPr>
      </w:pPr>
      <w:r w:rsidRPr="00A83727">
        <w:rPr>
          <w:rFonts w:ascii="仿宋_GB2312" w:eastAsia="仿宋_GB2312" w:hAnsi="Times New Roman" w:cs="Times New Roman"/>
          <w:kern w:val="2"/>
          <w:sz w:val="32"/>
          <w:szCs w:val="32"/>
        </w:rPr>
        <w:t xml:space="preserve">　　2019年3月20日</w:t>
      </w:r>
    </w:p>
    <w:bookmarkEnd w:id="0"/>
    <w:p w14:paraId="52383C9B" w14:textId="77777777" w:rsidR="00A83727" w:rsidRDefault="00A83727"/>
    <w:sectPr w:rsidR="00A83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4AB3" w14:textId="77777777" w:rsidR="003C7D40" w:rsidRDefault="003C7D40" w:rsidP="00A83727">
      <w:r>
        <w:separator/>
      </w:r>
    </w:p>
  </w:endnote>
  <w:endnote w:type="continuationSeparator" w:id="0">
    <w:p w14:paraId="48A2EE8A" w14:textId="77777777" w:rsidR="003C7D40" w:rsidRDefault="003C7D40" w:rsidP="00A8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9DA5" w14:textId="77777777" w:rsidR="003C7D40" w:rsidRDefault="003C7D40" w:rsidP="00A83727">
      <w:r>
        <w:separator/>
      </w:r>
    </w:p>
  </w:footnote>
  <w:footnote w:type="continuationSeparator" w:id="0">
    <w:p w14:paraId="2AFBF6D9" w14:textId="77777777" w:rsidR="003C7D40" w:rsidRDefault="003C7D40" w:rsidP="00A83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4C"/>
    <w:rsid w:val="003C7D40"/>
    <w:rsid w:val="003E7896"/>
    <w:rsid w:val="006B704C"/>
    <w:rsid w:val="00A83727"/>
    <w:rsid w:val="00B27405"/>
    <w:rsid w:val="00C12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1905"/>
  <w15:chartTrackingRefBased/>
  <w15:docId w15:val="{8EECF661-AD19-465F-9851-90643036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7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3727"/>
    <w:rPr>
      <w:sz w:val="18"/>
      <w:szCs w:val="18"/>
    </w:rPr>
  </w:style>
  <w:style w:type="paragraph" w:styleId="a5">
    <w:name w:val="footer"/>
    <w:basedOn w:val="a"/>
    <w:link w:val="a6"/>
    <w:uiPriority w:val="99"/>
    <w:unhideWhenUsed/>
    <w:rsid w:val="00A83727"/>
    <w:pPr>
      <w:tabs>
        <w:tab w:val="center" w:pos="4153"/>
        <w:tab w:val="right" w:pos="8306"/>
      </w:tabs>
      <w:snapToGrid w:val="0"/>
      <w:jc w:val="left"/>
    </w:pPr>
    <w:rPr>
      <w:sz w:val="18"/>
      <w:szCs w:val="18"/>
    </w:rPr>
  </w:style>
  <w:style w:type="character" w:customStyle="1" w:styleId="a6">
    <w:name w:val="页脚 字符"/>
    <w:basedOn w:val="a0"/>
    <w:link w:val="a5"/>
    <w:uiPriority w:val="99"/>
    <w:rsid w:val="00A83727"/>
    <w:rPr>
      <w:sz w:val="18"/>
      <w:szCs w:val="18"/>
    </w:rPr>
  </w:style>
  <w:style w:type="paragraph" w:styleId="a7">
    <w:name w:val="Normal (Web)"/>
    <w:basedOn w:val="a"/>
    <w:uiPriority w:val="99"/>
    <w:unhideWhenUsed/>
    <w:rsid w:val="00A837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63108">
      <w:bodyDiv w:val="1"/>
      <w:marLeft w:val="0"/>
      <w:marRight w:val="0"/>
      <w:marTop w:val="0"/>
      <w:marBottom w:val="0"/>
      <w:divBdr>
        <w:top w:val="none" w:sz="0" w:space="0" w:color="auto"/>
        <w:left w:val="none" w:sz="0" w:space="0" w:color="auto"/>
        <w:bottom w:val="none" w:sz="0" w:space="0" w:color="auto"/>
        <w:right w:val="none" w:sz="0" w:space="0" w:color="auto"/>
      </w:divBdr>
      <w:divsChild>
        <w:div w:id="430665757">
          <w:marLeft w:val="0"/>
          <w:marRight w:val="0"/>
          <w:marTop w:val="0"/>
          <w:marBottom w:val="375"/>
          <w:divBdr>
            <w:top w:val="none" w:sz="0" w:space="0" w:color="auto"/>
            <w:left w:val="none" w:sz="0" w:space="0" w:color="auto"/>
            <w:bottom w:val="none" w:sz="0" w:space="0" w:color="auto"/>
            <w:right w:val="none" w:sz="0" w:space="0" w:color="auto"/>
          </w:divBdr>
        </w:div>
        <w:div w:id="756514122">
          <w:marLeft w:val="0"/>
          <w:marRight w:val="0"/>
          <w:marTop w:val="0"/>
          <w:marBottom w:val="375"/>
          <w:divBdr>
            <w:top w:val="none" w:sz="0" w:space="0" w:color="auto"/>
            <w:left w:val="none" w:sz="0" w:space="0" w:color="auto"/>
            <w:bottom w:val="none" w:sz="0" w:space="0" w:color="auto"/>
            <w:right w:val="none" w:sz="0" w:space="0" w:color="auto"/>
          </w:divBdr>
        </w:div>
        <w:div w:id="604386512">
          <w:marLeft w:val="0"/>
          <w:marRight w:val="0"/>
          <w:marTop w:val="0"/>
          <w:marBottom w:val="375"/>
          <w:divBdr>
            <w:top w:val="none" w:sz="0" w:space="0" w:color="auto"/>
            <w:left w:val="none" w:sz="0" w:space="0" w:color="auto"/>
            <w:bottom w:val="none" w:sz="0" w:space="0" w:color="auto"/>
            <w:right w:val="none" w:sz="0" w:space="0" w:color="auto"/>
          </w:divBdr>
        </w:div>
      </w:divsChild>
    </w:div>
    <w:div w:id="16287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彭 彭</cp:lastModifiedBy>
  <cp:revision>3</cp:revision>
  <dcterms:created xsi:type="dcterms:W3CDTF">2020-02-14T06:14:00Z</dcterms:created>
  <dcterms:modified xsi:type="dcterms:W3CDTF">2020-02-14T06:41:00Z</dcterms:modified>
</cp:coreProperties>
</file>