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869"/>
        <w:spacing w:before="304" w:line="187" w:lineRule="auto"/>
        <w:rPr>
          <w:rFonts w:ascii="Microsoft YaHei" w:hAnsi="Microsoft YaHei" w:eastAsia="Microsoft YaHei" w:cs="Microsoft YaHei"/>
          <w:sz w:val="71"/>
          <w:szCs w:val="71"/>
        </w:rPr>
      </w:pPr>
      <w:r>
        <w:rPr>
          <w:rFonts w:ascii="Microsoft YaHei" w:hAnsi="Microsoft YaHei" w:eastAsia="Microsoft YaHei" w:cs="Microsoft YaHei"/>
          <w:sz w:val="71"/>
          <w:szCs w:val="71"/>
          <w:color w:val="FF0000"/>
          <w14:textOutline w14:w="13075" w14:cap="sq" w14:cmpd="sng">
            <w14:solidFill>
              <w14:srgbClr w14:val="FF0000"/>
            </w14:solidFill>
            <w14:prstDash w14:val="solid"/>
            <w14:bevel/>
          </w14:textOutline>
          <w:spacing w:val="6"/>
        </w:rPr>
        <w:t>上海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14:textOutline w14:w="13075" w14:cap="sq" w14:cmpd="sng">
            <w14:solidFill>
              <w14:srgbClr w14:val="FF0000"/>
            </w14:solidFill>
            <w14:prstDash w14:val="solid"/>
            <w14:bevel/>
          </w14:textOutline>
          <w:spacing w:val="4"/>
        </w:rPr>
        <w:t>市</w:t>
      </w:r>
      <w:r>
        <w:rPr>
          <w:rFonts w:ascii="Microsoft YaHei" w:hAnsi="Microsoft YaHei" w:eastAsia="Microsoft YaHei" w:cs="Microsoft YaHei"/>
          <w:sz w:val="71"/>
          <w:szCs w:val="71"/>
          <w:color w:val="FF0000"/>
          <w14:textOutline w14:w="13075" w14:cap="sq" w14:cmpd="sng">
            <w14:solidFill>
              <w14:srgbClr w14:val="FF0000"/>
            </w14:solidFill>
            <w14:prstDash w14:val="solid"/>
            <w14:bevel/>
          </w14:textOutline>
          <w:spacing w:val="3"/>
        </w:rPr>
        <w:t>青浦区人民法院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ind w:left="313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青</w:t>
      </w:r>
      <w:r>
        <w:rPr>
          <w:rFonts w:ascii="FangSong" w:hAnsi="FangSong" w:eastAsia="FangSong" w:cs="FangSong"/>
          <w:sz w:val="31"/>
          <w:szCs w:val="31"/>
          <w:spacing w:val="-2"/>
        </w:rPr>
        <w:t>法〔2020〕41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号</w:t>
      </w:r>
    </w:p>
    <w:p>
      <w:pPr>
        <w:spacing w:before="93" w:line="57" w:lineRule="exact"/>
        <w:textAlignment w:val="center"/>
        <w:rPr/>
      </w:pPr>
      <w:r>
        <w:pict>
          <v:shape id="_x0000_s1" style="mso-position-vertical-relative:line;mso-position-horizontal-relative:char;width:442.3pt;height:2.9pt;" fillcolor="#FF0000" filled="true" stroked="false" coordsize="8845,58" coordorigin="0,0" path="m,l8845,0l8845,57l0,57l0,0xe"/>
        </w:pic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3336" w:right="602" w:hanging="2833"/>
        <w:spacing w:before="184" w:line="203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关于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推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行民事诉讼程序繁简分流改革试点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工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作的意见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19" w:firstLine="635"/>
        <w:spacing w:before="10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根据最高人民法院《民</w:t>
      </w:r>
      <w:r>
        <w:rPr>
          <w:rFonts w:ascii="FangSong" w:hAnsi="FangSong" w:eastAsia="FangSong" w:cs="FangSong"/>
          <w:sz w:val="31"/>
          <w:szCs w:val="31"/>
          <w:spacing w:val="-3"/>
        </w:rPr>
        <w:t>事</w:t>
      </w:r>
      <w:r>
        <w:rPr>
          <w:rFonts w:ascii="FangSong" w:hAnsi="FangSong" w:eastAsia="FangSong" w:cs="FangSong"/>
          <w:sz w:val="31"/>
          <w:szCs w:val="31"/>
          <w:spacing w:val="-2"/>
        </w:rPr>
        <w:t>诉讼程序繁简分流改革试点方案》、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《</w:t>
      </w:r>
      <w:r>
        <w:rPr>
          <w:rFonts w:ascii="FangSong" w:hAnsi="FangSong" w:eastAsia="FangSong" w:cs="FangSong"/>
          <w:sz w:val="31"/>
          <w:szCs w:val="31"/>
          <w:spacing w:val="5"/>
        </w:rPr>
        <w:t>民事诉讼程序繁简分流改革试点实施办法》(下简称《实施办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法》</w:t>
      </w:r>
      <w:r>
        <w:rPr>
          <w:rFonts w:ascii="FangSong" w:hAnsi="FangSong" w:eastAsia="FangSong" w:cs="FangSong"/>
          <w:sz w:val="31"/>
          <w:szCs w:val="31"/>
          <w:spacing w:val="-8"/>
        </w:rPr>
        <w:t>)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、上海市高级人民法院《上海法院关于推进民事诉讼程序繁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简分流改革试点的实施方</w:t>
      </w:r>
      <w:r>
        <w:rPr>
          <w:rFonts w:ascii="FangSong" w:hAnsi="FangSong" w:eastAsia="FangSong" w:cs="FangSong"/>
          <w:sz w:val="31"/>
          <w:szCs w:val="31"/>
        </w:rPr>
        <w:t>案》，为充分保障人民群众合法诉讼权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益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5"/>
        </w:rPr>
        <w:t>推进案件繁简分流、轻重分离、快慢分道，进一步优化司法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资</w:t>
      </w:r>
      <w:r>
        <w:rPr>
          <w:rFonts w:ascii="FangSong" w:hAnsi="FangSong" w:eastAsia="FangSong" w:cs="FangSong"/>
          <w:sz w:val="31"/>
          <w:szCs w:val="31"/>
          <w:spacing w:val="7"/>
        </w:rPr>
        <w:t>源</w:t>
      </w:r>
      <w:r>
        <w:rPr>
          <w:rFonts w:ascii="FangSong" w:hAnsi="FangSong" w:eastAsia="FangSong" w:cs="FangSong"/>
          <w:sz w:val="31"/>
          <w:szCs w:val="31"/>
          <w:spacing w:val="5"/>
        </w:rPr>
        <w:t>配置，提升审判工作质效和公信力，根据本院实际，特制定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</w:t>
      </w:r>
      <w:r>
        <w:rPr>
          <w:rFonts w:ascii="FangSong" w:hAnsi="FangSong" w:eastAsia="FangSong" w:cs="FangSong"/>
          <w:sz w:val="31"/>
          <w:szCs w:val="31"/>
          <w:spacing w:val="4"/>
        </w:rPr>
        <w:t>下</w:t>
      </w:r>
      <w:r>
        <w:rPr>
          <w:rFonts w:ascii="FangSong" w:hAnsi="FangSong" w:eastAsia="FangSong" w:cs="FangSong"/>
          <w:sz w:val="31"/>
          <w:szCs w:val="31"/>
          <w:spacing w:val="3"/>
        </w:rPr>
        <w:t>工作实施细则。</w:t>
      </w:r>
    </w:p>
    <w:p>
      <w:pPr>
        <w:ind w:left="656"/>
        <w:spacing w:line="5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  <w:position w:val="4"/>
        </w:rPr>
        <w:t>一</w:t>
      </w:r>
      <w:r>
        <w:rPr>
          <w:rFonts w:ascii="SimHei" w:hAnsi="SimHei" w:eastAsia="SimHei" w:cs="SimHei"/>
          <w:sz w:val="31"/>
          <w:szCs w:val="31"/>
          <w:spacing w:val="3"/>
          <w:position w:val="4"/>
        </w:rPr>
        <w:t>、组织保障</w:t>
      </w:r>
    </w:p>
    <w:p>
      <w:pPr>
        <w:ind w:left="25" w:right="14" w:firstLine="648"/>
        <w:spacing w:before="66" w:line="35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第一条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本院设立推进民事诉讼程序繁简分流改革试点工作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专班，由院长麦珏担任班</w:t>
      </w:r>
      <w:r>
        <w:rPr>
          <w:rFonts w:ascii="FangSong" w:hAnsi="FangSong" w:eastAsia="FangSong" w:cs="FangSong"/>
          <w:sz w:val="31"/>
          <w:szCs w:val="31"/>
          <w:spacing w:val="-3"/>
        </w:rPr>
        <w:t>长</w:t>
      </w:r>
      <w:r>
        <w:rPr>
          <w:rFonts w:ascii="FangSong" w:hAnsi="FangSong" w:eastAsia="FangSong" w:cs="FangSong"/>
          <w:sz w:val="31"/>
          <w:szCs w:val="31"/>
          <w:spacing w:val="-2"/>
        </w:rPr>
        <w:t>，副院长王贤诚、张富泉担任副班长，</w:t>
      </w:r>
    </w:p>
    <w:p>
      <w:pPr>
        <w:sectPr>
          <w:footerReference w:type="default" r:id="rId1"/>
          <w:pgSz w:w="11906" w:h="16839"/>
          <w:pgMar w:top="1431" w:right="1368" w:bottom="1480" w:left="1588" w:header="0" w:footer="1196" w:gutter="0"/>
        </w:sectPr>
        <w:rPr/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11" w:firstLine="42"/>
        <w:spacing w:before="10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由政治部主任、审判委员会专职委员和立案庭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(诉调对接中心)、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执</w:t>
      </w:r>
      <w:r>
        <w:rPr>
          <w:rFonts w:ascii="FangSong" w:hAnsi="FangSong" w:eastAsia="FangSong" w:cs="FangSong"/>
          <w:sz w:val="31"/>
          <w:szCs w:val="31"/>
          <w:spacing w:val="-9"/>
        </w:rPr>
        <w:t>行</w:t>
      </w:r>
      <w:r>
        <w:rPr>
          <w:rFonts w:ascii="FangSong" w:hAnsi="FangSong" w:eastAsia="FangSong" w:cs="FangSong"/>
          <w:sz w:val="31"/>
          <w:szCs w:val="31"/>
          <w:spacing w:val="-5"/>
        </w:rPr>
        <w:t>局、民事审判庭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(环境资源审判庭)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、商事审判庭、青东人民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法</w:t>
      </w:r>
      <w:r>
        <w:rPr>
          <w:rFonts w:ascii="FangSong" w:hAnsi="FangSong" w:eastAsia="FangSong" w:cs="FangSong"/>
          <w:sz w:val="31"/>
          <w:szCs w:val="31"/>
          <w:spacing w:val="5"/>
        </w:rPr>
        <w:t>庭、朱家角人民法庭、西虹桥人民法庭、执行裁判庭、审判监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督庭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(审判管理办</w:t>
      </w:r>
      <w:r>
        <w:rPr>
          <w:rFonts w:ascii="FangSong" w:hAnsi="FangSong" w:eastAsia="FangSong" w:cs="FangSong"/>
          <w:sz w:val="31"/>
          <w:szCs w:val="31"/>
        </w:rPr>
        <w:t>公室、研究室)、办公室、司法行装科负责人担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任成员。工</w:t>
      </w:r>
      <w:r>
        <w:rPr>
          <w:rFonts w:ascii="FangSong" w:hAnsi="FangSong" w:eastAsia="FangSong" w:cs="FangSong"/>
          <w:sz w:val="31"/>
          <w:szCs w:val="31"/>
          <w:spacing w:val="5"/>
        </w:rPr>
        <w:t>作</w:t>
      </w:r>
      <w:r>
        <w:rPr>
          <w:rFonts w:ascii="FangSong" w:hAnsi="FangSong" w:eastAsia="FangSong" w:cs="FangSong"/>
          <w:sz w:val="31"/>
          <w:szCs w:val="31"/>
          <w:spacing w:val="4"/>
        </w:rPr>
        <w:t>专班由立案庭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(诉调对接中心)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和审判监督庭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判管理办公室、研究室)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担任牵头部门，根据改革试点工作需要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定期召开联席会议，总结经验、梳理问题，提出应对或整改</w:t>
      </w:r>
      <w:r>
        <w:rPr>
          <w:rFonts w:ascii="FangSong" w:hAnsi="FangSong" w:eastAsia="FangSong" w:cs="FangSong"/>
          <w:sz w:val="31"/>
          <w:szCs w:val="31"/>
          <w:spacing w:val="-1"/>
        </w:rPr>
        <w:t>措</w:t>
      </w:r>
      <w:r>
        <w:rPr>
          <w:rFonts w:ascii="FangSong" w:hAnsi="FangSong" w:eastAsia="FangSong" w:cs="FangSong"/>
          <w:sz w:val="31"/>
          <w:szCs w:val="31"/>
        </w:rPr>
        <w:t>施。</w:t>
      </w:r>
    </w:p>
    <w:p>
      <w:pPr>
        <w:ind w:left="647"/>
        <w:spacing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  <w:position w:val="2"/>
        </w:rPr>
        <w:t>二、司法确认程</w:t>
      </w:r>
      <w:r>
        <w:rPr>
          <w:rFonts w:ascii="SimHei" w:hAnsi="SimHei" w:eastAsia="SimHei" w:cs="SimHei"/>
          <w:sz w:val="31"/>
          <w:szCs w:val="31"/>
          <w:spacing w:val="3"/>
          <w:position w:val="2"/>
        </w:rPr>
        <w:t>序</w:t>
      </w:r>
    </w:p>
    <w:p>
      <w:pPr>
        <w:ind w:left="12" w:right="109" w:firstLine="652"/>
        <w:spacing w:before="16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第二</w:t>
      </w:r>
      <w:r>
        <w:rPr>
          <w:rFonts w:ascii="FangSong" w:hAnsi="FangSong" w:eastAsia="FangSong" w:cs="FangSong"/>
          <w:sz w:val="31"/>
          <w:szCs w:val="31"/>
          <w:spacing w:val="9"/>
        </w:rPr>
        <w:t>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立案庭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(诉调对接中心)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应当建立特邀调解名册，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按</w:t>
      </w:r>
      <w:r>
        <w:rPr>
          <w:rFonts w:ascii="FangSong" w:hAnsi="FangSong" w:eastAsia="FangSong" w:cs="FangSong"/>
          <w:sz w:val="31"/>
          <w:szCs w:val="31"/>
          <w:spacing w:val="7"/>
        </w:rPr>
        <w:t>照</w:t>
      </w:r>
      <w:r>
        <w:rPr>
          <w:rFonts w:ascii="FangSong" w:hAnsi="FangSong" w:eastAsia="FangSong" w:cs="FangSong"/>
          <w:sz w:val="31"/>
          <w:szCs w:val="31"/>
          <w:spacing w:val="5"/>
        </w:rPr>
        <w:t>规定的程序和条件，确定特邀调解组织和特邀调解员，并对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名</w:t>
      </w:r>
      <w:r>
        <w:rPr>
          <w:rFonts w:ascii="FangSong" w:hAnsi="FangSong" w:eastAsia="FangSong" w:cs="FangSong"/>
          <w:sz w:val="31"/>
          <w:szCs w:val="31"/>
          <w:spacing w:val="3"/>
        </w:rPr>
        <w:t>册</w:t>
      </w:r>
      <w:r>
        <w:rPr>
          <w:rFonts w:ascii="FangSong" w:hAnsi="FangSong" w:eastAsia="FangSong" w:cs="FangSong"/>
          <w:sz w:val="31"/>
          <w:szCs w:val="31"/>
          <w:spacing w:val="2"/>
        </w:rPr>
        <w:t>进行管理。</w:t>
      </w:r>
    </w:p>
    <w:p>
      <w:pPr>
        <w:ind w:left="13" w:right="109" w:firstLine="644"/>
        <w:spacing w:before="5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立</w:t>
      </w:r>
      <w:r>
        <w:rPr>
          <w:rFonts w:ascii="FangSong" w:hAnsi="FangSong" w:eastAsia="FangSong" w:cs="FangSong"/>
          <w:sz w:val="31"/>
          <w:szCs w:val="31"/>
          <w:spacing w:val="7"/>
        </w:rPr>
        <w:t>案</w:t>
      </w:r>
      <w:r>
        <w:rPr>
          <w:rFonts w:ascii="FangSong" w:hAnsi="FangSong" w:eastAsia="FangSong" w:cs="FangSong"/>
          <w:sz w:val="31"/>
          <w:szCs w:val="31"/>
          <w:spacing w:val="4"/>
        </w:rPr>
        <w:t>庭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(诉调对接中心)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还需建立本区人民调解委员会组织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名</w:t>
      </w:r>
      <w:r>
        <w:rPr>
          <w:rFonts w:ascii="FangSong" w:hAnsi="FangSong" w:eastAsia="FangSong" w:cs="FangSong"/>
          <w:sz w:val="31"/>
          <w:szCs w:val="31"/>
          <w:spacing w:val="6"/>
        </w:rPr>
        <w:t>册</w:t>
      </w:r>
      <w:r>
        <w:rPr>
          <w:rFonts w:ascii="FangSong" w:hAnsi="FangSong" w:eastAsia="FangSong" w:cs="FangSong"/>
          <w:sz w:val="31"/>
          <w:szCs w:val="31"/>
          <w:spacing w:val="5"/>
        </w:rPr>
        <w:t>和调解员名册，并对名册进行管理。同时，应与各人民调解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委</w:t>
      </w:r>
      <w:r>
        <w:rPr>
          <w:rFonts w:ascii="FangSong" w:hAnsi="FangSong" w:eastAsia="FangSong" w:cs="FangSong"/>
          <w:sz w:val="31"/>
          <w:szCs w:val="31"/>
          <w:spacing w:val="6"/>
        </w:rPr>
        <w:t>员</w:t>
      </w:r>
      <w:r>
        <w:rPr>
          <w:rFonts w:ascii="FangSong" w:hAnsi="FangSong" w:eastAsia="FangSong" w:cs="FangSong"/>
          <w:sz w:val="31"/>
          <w:szCs w:val="31"/>
          <w:spacing w:val="5"/>
        </w:rPr>
        <w:t>会设立对接、联席制度，指定专职联络员，与各人民调解组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织的专职联络员做好司法确认案件材料的交接、审核工作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14" w:firstLine="649"/>
        <w:spacing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三条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审理司法确认案件的相关业务庭应充分依托线上调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解平台，尽可能实现线上启动、完成司法确认人民调解协议程序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19" w:firstLine="644"/>
        <w:spacing w:before="2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四条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关于人民调解协议司法确认程序的具体操作规则由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立案庭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(诉调对接中心)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负责起草，并报院审判委员会审议通过。</w:t>
      </w:r>
    </w:p>
    <w:p>
      <w:pPr>
        <w:ind w:left="648"/>
        <w:spacing w:before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三、小额诉讼程</w:t>
      </w:r>
      <w:r>
        <w:rPr>
          <w:rFonts w:ascii="SimHei" w:hAnsi="SimHei" w:eastAsia="SimHei" w:cs="SimHei"/>
          <w:sz w:val="31"/>
          <w:szCs w:val="31"/>
          <w:spacing w:val="2"/>
        </w:rPr>
        <w:t>序</w:t>
      </w:r>
    </w:p>
    <w:p>
      <w:pPr>
        <w:ind w:left="14" w:right="109" w:firstLine="649"/>
        <w:spacing w:before="174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第五条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小额诉讼程序案件的具体操作规则由立案庭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(诉调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对接中</w:t>
      </w:r>
      <w:r>
        <w:rPr>
          <w:rFonts w:ascii="FangSong" w:hAnsi="FangSong" w:eastAsia="FangSong" w:cs="FangSong"/>
          <w:sz w:val="31"/>
          <w:szCs w:val="31"/>
          <w:spacing w:val="4"/>
        </w:rPr>
        <w:t>心)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负责起草，并报院审判委员会审议通过。</w:t>
      </w:r>
    </w:p>
    <w:p>
      <w:pPr>
        <w:sectPr>
          <w:footerReference w:type="default" r:id="rId2"/>
          <w:pgSz w:w="11906" w:h="16839"/>
          <w:pgMar w:top="1431" w:right="1359" w:bottom="1479" w:left="1597" w:header="0" w:footer="1196" w:gutter="0"/>
        </w:sectPr>
        <w:rPr/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648"/>
        <w:spacing w:before="101"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</w:t>
      </w:r>
      <w:r>
        <w:rPr>
          <w:rFonts w:ascii="SimHei" w:hAnsi="SimHei" w:eastAsia="SimHei" w:cs="SimHei"/>
          <w:sz w:val="31"/>
          <w:szCs w:val="31"/>
          <w:spacing w:val="2"/>
        </w:rPr>
        <w:t>、简易程序规则</w:t>
      </w:r>
    </w:p>
    <w:p>
      <w:pPr>
        <w:ind w:firstLine="652"/>
        <w:spacing w:before="193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六条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适用简易程序审理的案件，涉及本次民事诉讼程序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繁简分流改革试点</w:t>
      </w:r>
      <w:r>
        <w:rPr>
          <w:rFonts w:ascii="FangSong" w:hAnsi="FangSong" w:eastAsia="FangSong" w:cs="FangSong"/>
          <w:sz w:val="31"/>
          <w:szCs w:val="31"/>
        </w:rPr>
        <w:t>内容的具体操作规则，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由审判监督庭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(审判管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理办公室、</w:t>
      </w:r>
      <w:r>
        <w:rPr>
          <w:rFonts w:ascii="FangSong" w:hAnsi="FangSong" w:eastAsia="FangSong" w:cs="FangSong"/>
          <w:sz w:val="31"/>
          <w:szCs w:val="31"/>
          <w:spacing w:val="5"/>
        </w:rPr>
        <w:t>研</w:t>
      </w:r>
      <w:r>
        <w:rPr>
          <w:rFonts w:ascii="FangSong" w:hAnsi="FangSong" w:eastAsia="FangSong" w:cs="FangSong"/>
          <w:sz w:val="31"/>
          <w:szCs w:val="31"/>
          <w:spacing w:val="4"/>
        </w:rPr>
        <w:t>究室)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负责起草，并报院审判委员会审议通过。</w:t>
      </w:r>
    </w:p>
    <w:p>
      <w:pPr>
        <w:ind w:left="638"/>
        <w:spacing w:before="1" w:line="23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五、独任制适用范</w:t>
      </w:r>
      <w:r>
        <w:rPr>
          <w:rFonts w:ascii="SimHei" w:hAnsi="SimHei" w:eastAsia="SimHei" w:cs="SimHei"/>
          <w:sz w:val="31"/>
          <w:szCs w:val="31"/>
          <w:spacing w:val="3"/>
        </w:rPr>
        <w:t>围</w:t>
      </w:r>
    </w:p>
    <w:p>
      <w:pPr>
        <w:ind w:left="10" w:firstLine="641"/>
        <w:spacing w:before="179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第</w:t>
      </w:r>
      <w:r>
        <w:rPr>
          <w:rFonts w:ascii="FangSong" w:hAnsi="FangSong" w:eastAsia="FangSong" w:cs="FangSong"/>
          <w:sz w:val="31"/>
          <w:szCs w:val="31"/>
          <w:spacing w:val="7"/>
        </w:rPr>
        <w:t>七</w:t>
      </w:r>
      <w:r>
        <w:rPr>
          <w:rFonts w:ascii="FangSong" w:hAnsi="FangSong" w:eastAsia="FangSong" w:cs="FangSong"/>
          <w:sz w:val="31"/>
          <w:szCs w:val="31"/>
          <w:spacing w:val="4"/>
        </w:rPr>
        <w:t>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适用小额诉讼程序、简易程序审理的案件，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由承办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法官一人独任审理。</w:t>
      </w:r>
    </w:p>
    <w:p>
      <w:pPr>
        <w:ind w:left="2" w:right="50" w:firstLine="635"/>
        <w:spacing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事实不易查明，但法律适用明确的案件，经承办法官申请、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庭长批准，可以由承办法官一人适用普通程序独任审理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10" w:firstLine="632"/>
        <w:spacing w:before="1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普通程序独任审理的案件，转普通程序裁定书以独任法官</w:t>
      </w:r>
      <w:r>
        <w:rPr>
          <w:rFonts w:ascii="FangSong" w:hAnsi="FangSong" w:eastAsia="FangSong" w:cs="FangSong"/>
          <w:sz w:val="31"/>
          <w:szCs w:val="31"/>
        </w:rPr>
        <w:t>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法</w:t>
      </w:r>
      <w:r>
        <w:rPr>
          <w:rFonts w:ascii="FangSong" w:hAnsi="FangSong" w:eastAsia="FangSong" w:cs="FangSong"/>
          <w:sz w:val="31"/>
          <w:szCs w:val="31"/>
          <w:spacing w:val="3"/>
        </w:rPr>
        <w:t>官助理、书记员名义落款。</w:t>
      </w:r>
    </w:p>
    <w:p>
      <w:pPr>
        <w:ind w:left="1" w:firstLine="650"/>
        <w:spacing w:before="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八条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本院审理的案件，具备下列情形之一的，应当依法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组</w:t>
      </w:r>
      <w:r>
        <w:rPr>
          <w:rFonts w:ascii="FangSong" w:hAnsi="FangSong" w:eastAsia="FangSong" w:cs="FangSong"/>
          <w:sz w:val="31"/>
          <w:szCs w:val="31"/>
          <w:spacing w:val="4"/>
        </w:rPr>
        <w:t>成合议庭，适用普通程序审理：</w:t>
      </w:r>
    </w:p>
    <w:p>
      <w:pPr>
        <w:ind w:left="642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一</w:t>
      </w:r>
      <w:r>
        <w:rPr>
          <w:rFonts w:ascii="FangSong" w:hAnsi="FangSong" w:eastAsia="FangSong" w:cs="FangSong"/>
          <w:sz w:val="31"/>
          <w:szCs w:val="31"/>
          <w:spacing w:val="4"/>
        </w:rPr>
        <w:t>)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涉及国家利益、公共利益的；</w:t>
      </w:r>
    </w:p>
    <w:p>
      <w:pPr>
        <w:ind w:left="642"/>
        <w:spacing w:before="19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二)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涉及群体性纠纷，可能影响社会稳定的；</w:t>
      </w:r>
    </w:p>
    <w:p>
      <w:pPr>
        <w:ind w:left="642"/>
        <w:spacing w:before="19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</w:t>
      </w:r>
      <w:r>
        <w:rPr>
          <w:rFonts w:ascii="FangSong" w:hAnsi="FangSong" w:eastAsia="FangSong" w:cs="FangSong"/>
          <w:sz w:val="31"/>
          <w:szCs w:val="31"/>
          <w:spacing w:val="11"/>
        </w:rPr>
        <w:t>三)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产生较大社会影响，人民群众广泛关注的；</w:t>
      </w:r>
    </w:p>
    <w:p>
      <w:pPr>
        <w:ind w:left="642"/>
        <w:spacing w:before="19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四)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新类型或者疑难复杂的；</w:t>
      </w:r>
    </w:p>
    <w:p>
      <w:pPr>
        <w:ind w:left="18" w:right="2" w:firstLine="624"/>
        <w:spacing w:before="200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0"/>
        </w:rPr>
        <w:t>五)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与本院或者上级人民法院已经生效的类案判决可能发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生</w:t>
      </w:r>
      <w:r>
        <w:rPr>
          <w:rFonts w:ascii="FangSong" w:hAnsi="FangSong" w:eastAsia="FangSong" w:cs="FangSong"/>
          <w:sz w:val="31"/>
          <w:szCs w:val="31"/>
          <w:spacing w:val="-3"/>
        </w:rPr>
        <w:t>冲</w:t>
      </w:r>
      <w:r>
        <w:rPr>
          <w:rFonts w:ascii="FangSong" w:hAnsi="FangSong" w:eastAsia="FangSong" w:cs="FangSong"/>
          <w:sz w:val="31"/>
          <w:szCs w:val="31"/>
          <w:spacing w:val="-2"/>
        </w:rPr>
        <w:t>突的；</w:t>
      </w:r>
    </w:p>
    <w:p>
      <w:pPr>
        <w:ind w:left="642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(六)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发回重审的</w:t>
      </w:r>
      <w:r>
        <w:rPr>
          <w:rFonts w:ascii="FangSong" w:hAnsi="FangSong" w:eastAsia="FangSong" w:cs="FangSong"/>
          <w:sz w:val="31"/>
          <w:szCs w:val="31"/>
          <w:spacing w:val="16"/>
        </w:rPr>
        <w:t>；</w:t>
      </w:r>
    </w:p>
    <w:p>
      <w:pPr>
        <w:ind w:left="642"/>
        <w:spacing w:before="19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</w:t>
      </w:r>
      <w:r>
        <w:rPr>
          <w:rFonts w:ascii="FangSong" w:hAnsi="FangSong" w:eastAsia="FangSong" w:cs="FangSong"/>
          <w:sz w:val="31"/>
          <w:szCs w:val="31"/>
          <w:spacing w:val="14"/>
        </w:rPr>
        <w:t>七)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适用审判监督程序的；</w:t>
      </w:r>
    </w:p>
    <w:p>
      <w:pPr>
        <w:ind w:left="642"/>
        <w:spacing w:before="19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</w:t>
      </w:r>
      <w:r>
        <w:rPr>
          <w:rFonts w:ascii="FangSong" w:hAnsi="FangSong" w:eastAsia="FangSong" w:cs="FangSong"/>
          <w:sz w:val="31"/>
          <w:szCs w:val="31"/>
          <w:spacing w:val="10"/>
        </w:rPr>
        <w:t>八)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第三人起诉请求改变或者撤销生效判决、裁定、调解</w:t>
      </w:r>
    </w:p>
    <w:p>
      <w:pPr>
        <w:sectPr>
          <w:footerReference w:type="default" r:id="rId3"/>
          <w:pgSz w:w="11906" w:h="16839"/>
          <w:pgMar w:top="1431" w:right="1468" w:bottom="1479" w:left="1609" w:header="0" w:footer="1199" w:gutter="0"/>
        </w:sectPr>
        <w:rPr/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27"/>
        <w:spacing w:before="10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书</w:t>
      </w:r>
      <w:r>
        <w:rPr>
          <w:rFonts w:ascii="FangSong" w:hAnsi="FangSong" w:eastAsia="FangSong" w:cs="FangSong"/>
          <w:sz w:val="31"/>
          <w:szCs w:val="31"/>
          <w:spacing w:val="-6"/>
        </w:rPr>
        <w:t>的；</w:t>
      </w:r>
    </w:p>
    <w:p>
      <w:pPr>
        <w:ind w:left="13" w:right="87" w:firstLine="641"/>
        <w:spacing w:before="199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10"/>
        </w:rPr>
        <w:t>九)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涉及诉讼主体为政府、处级以上干部、人大代表或政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协委员的</w:t>
      </w:r>
      <w:r>
        <w:rPr>
          <w:rFonts w:ascii="FangSong" w:hAnsi="FangSong" w:eastAsia="FangSong" w:cs="FangSong"/>
          <w:sz w:val="31"/>
          <w:szCs w:val="31"/>
        </w:rPr>
        <w:t>；</w:t>
      </w:r>
    </w:p>
    <w:p>
      <w:pPr>
        <w:ind w:left="655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(十)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其他不宜采用独任制的案件</w:t>
      </w:r>
      <w:r>
        <w:rPr>
          <w:rFonts w:ascii="FangSong" w:hAnsi="FangSong" w:eastAsia="FangSong" w:cs="FangSong"/>
          <w:sz w:val="31"/>
          <w:szCs w:val="31"/>
          <w:spacing w:val="11"/>
        </w:rPr>
        <w:t>。</w:t>
      </w:r>
    </w:p>
    <w:p>
      <w:pPr>
        <w:ind w:left="11" w:firstLine="653"/>
        <w:spacing w:before="19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九条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由法官一人独任审理的案件，审理过程中出现《实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施办法》第十九</w:t>
      </w:r>
      <w:r>
        <w:rPr>
          <w:rFonts w:ascii="FangSong" w:hAnsi="FangSong" w:eastAsia="FangSong" w:cs="FangSong"/>
          <w:sz w:val="31"/>
          <w:szCs w:val="31"/>
        </w:rPr>
        <w:t>条第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一)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(五)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项或者第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(九)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项所列情形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之</w:t>
      </w:r>
      <w:r>
        <w:rPr>
          <w:rFonts w:ascii="FangSong" w:hAnsi="FangSong" w:eastAsia="FangSong" w:cs="FangSong"/>
          <w:sz w:val="31"/>
          <w:szCs w:val="31"/>
          <w:spacing w:val="5"/>
        </w:rPr>
        <w:t>一的，应当裁定组成合议庭审理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(裁定书以合议庭名义落款出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具)，并将合议</w:t>
      </w:r>
      <w:r>
        <w:rPr>
          <w:rFonts w:ascii="FangSong" w:hAnsi="FangSong" w:eastAsia="FangSong" w:cs="FangSong"/>
          <w:sz w:val="31"/>
          <w:szCs w:val="31"/>
        </w:rPr>
        <w:t>庭组成人员及相关事项书面通知双方当事人。由独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任</w:t>
      </w:r>
      <w:r>
        <w:rPr>
          <w:rFonts w:ascii="FangSong" w:hAnsi="FangSong" w:eastAsia="FangSong" w:cs="FangSong"/>
          <w:sz w:val="31"/>
          <w:szCs w:val="31"/>
          <w:spacing w:val="8"/>
        </w:rPr>
        <w:t>审</w:t>
      </w:r>
      <w:r>
        <w:rPr>
          <w:rFonts w:ascii="FangSong" w:hAnsi="FangSong" w:eastAsia="FangSong" w:cs="FangSong"/>
          <w:sz w:val="31"/>
          <w:szCs w:val="31"/>
          <w:spacing w:val="5"/>
        </w:rPr>
        <w:t>理转为合议庭审理的案件，审理期限自人民法院立案之日起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计算，已经作出的诉</w:t>
      </w:r>
      <w:r>
        <w:rPr>
          <w:rFonts w:ascii="FangSong" w:hAnsi="FangSong" w:eastAsia="FangSong" w:cs="FangSong"/>
          <w:sz w:val="31"/>
          <w:szCs w:val="31"/>
          <w:spacing w:val="-3"/>
        </w:rPr>
        <w:t>讼</w:t>
      </w:r>
      <w:r>
        <w:rPr>
          <w:rFonts w:ascii="FangSong" w:hAnsi="FangSong" w:eastAsia="FangSong" w:cs="FangSong"/>
          <w:sz w:val="31"/>
          <w:szCs w:val="31"/>
          <w:spacing w:val="-2"/>
        </w:rPr>
        <w:t>行为继续有效。双方当事人已确认的事实，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可以</w:t>
      </w:r>
      <w:r>
        <w:rPr>
          <w:rFonts w:ascii="FangSong" w:hAnsi="FangSong" w:eastAsia="FangSong" w:cs="FangSong"/>
          <w:sz w:val="31"/>
          <w:szCs w:val="31"/>
          <w:spacing w:val="3"/>
        </w:rPr>
        <w:t>不再举证、质证。</w:t>
      </w:r>
    </w:p>
    <w:p>
      <w:pPr>
        <w:ind w:left="649"/>
        <w:spacing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独任制审理转为合议庭审理后，不得再转回独任制审理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16" w:right="85" w:firstLine="648"/>
        <w:spacing w:before="20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十条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普通程序独任审理的案件，诉讼费用按普通程序标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准</w:t>
      </w:r>
      <w:r>
        <w:rPr>
          <w:rFonts w:ascii="FangSong" w:hAnsi="FangSong" w:eastAsia="FangSong" w:cs="FangSong"/>
          <w:sz w:val="31"/>
          <w:szCs w:val="31"/>
          <w:spacing w:val="-1"/>
        </w:rPr>
        <w:t>收取。</w:t>
      </w:r>
    </w:p>
    <w:p>
      <w:pPr>
        <w:ind w:left="651"/>
        <w:spacing w:before="1"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</w:t>
      </w:r>
      <w:r>
        <w:rPr>
          <w:rFonts w:ascii="SimHei" w:hAnsi="SimHei" w:eastAsia="SimHei" w:cs="SimHei"/>
          <w:sz w:val="31"/>
          <w:szCs w:val="31"/>
          <w:spacing w:val="3"/>
        </w:rPr>
        <w:t>、电子诉讼规则</w:t>
      </w:r>
    </w:p>
    <w:p>
      <w:pPr>
        <w:ind w:left="12" w:right="87" w:firstLine="652"/>
        <w:spacing w:before="188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第十一条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关于电子送达工作的具体操作规则由立案庭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7"/>
        </w:rPr>
        <w:t>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调对接</w:t>
      </w:r>
      <w:r>
        <w:rPr>
          <w:rFonts w:ascii="FangSong" w:hAnsi="FangSong" w:eastAsia="FangSong" w:cs="FangSong"/>
          <w:sz w:val="31"/>
          <w:szCs w:val="31"/>
          <w:spacing w:val="7"/>
        </w:rPr>
        <w:t>中</w:t>
      </w:r>
      <w:r>
        <w:rPr>
          <w:rFonts w:ascii="FangSong" w:hAnsi="FangSong" w:eastAsia="FangSong" w:cs="FangSong"/>
          <w:sz w:val="31"/>
          <w:szCs w:val="31"/>
          <w:spacing w:val="4"/>
        </w:rPr>
        <w:t>心)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负责起草，并报院审判委员会审议通过。</w:t>
      </w:r>
    </w:p>
    <w:p>
      <w:pPr>
        <w:ind w:left="21" w:right="85" w:firstLine="643"/>
        <w:spacing w:before="2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十二条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关于电子卷宗随案同步生成及深度应用相关工作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的具体操作规则以本院制定的《青浦区人民法院关于完善电子</w:t>
      </w:r>
      <w:r>
        <w:rPr>
          <w:rFonts w:ascii="FangSong" w:hAnsi="FangSong" w:eastAsia="FangSong" w:cs="FangSong"/>
          <w:sz w:val="31"/>
          <w:szCs w:val="31"/>
          <w:spacing w:val="3"/>
        </w:rPr>
        <w:t>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宗随</w:t>
      </w:r>
      <w:r>
        <w:rPr>
          <w:rFonts w:ascii="FangSong" w:hAnsi="FangSong" w:eastAsia="FangSong" w:cs="FangSong"/>
          <w:sz w:val="31"/>
          <w:szCs w:val="31"/>
          <w:spacing w:val="6"/>
        </w:rPr>
        <w:t>案</w:t>
      </w:r>
      <w:r>
        <w:rPr>
          <w:rFonts w:ascii="FangSong" w:hAnsi="FangSong" w:eastAsia="FangSong" w:cs="FangSong"/>
          <w:sz w:val="31"/>
          <w:szCs w:val="31"/>
          <w:spacing w:val="4"/>
        </w:rPr>
        <w:t>同步生成及深度应用工作的实施意见》为准。</w:t>
      </w:r>
    </w:p>
    <w:p>
      <w:pPr>
        <w:ind w:left="16" w:right="87" w:firstLine="647"/>
        <w:spacing w:before="1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十三条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关于电子卷宗上诉移送的具体操作规则由立案庭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(</w:t>
      </w:r>
      <w:r>
        <w:rPr>
          <w:rFonts w:ascii="FangSong" w:hAnsi="FangSong" w:eastAsia="FangSong" w:cs="FangSong"/>
          <w:sz w:val="31"/>
          <w:szCs w:val="31"/>
          <w:spacing w:val="10"/>
        </w:rPr>
        <w:t>诉调对接中心)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负责起草，并报院审判委员会审议通过。</w:t>
      </w:r>
    </w:p>
    <w:p>
      <w:pPr>
        <w:sectPr>
          <w:footerReference w:type="default" r:id="rId4"/>
          <w:pgSz w:w="11906" w:h="16839"/>
          <w:pgMar w:top="1431" w:right="1383" w:bottom="1479" w:left="1597" w:header="0" w:footer="1196" w:gutter="0"/>
        </w:sectPr>
        <w:rPr/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firstLine="643"/>
        <w:spacing w:before="10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第</w:t>
      </w:r>
      <w:r>
        <w:rPr>
          <w:rFonts w:ascii="FangSong" w:hAnsi="FangSong" w:eastAsia="FangSong" w:cs="FangSong"/>
          <w:sz w:val="31"/>
          <w:szCs w:val="31"/>
          <w:spacing w:val="10"/>
        </w:rPr>
        <w:t>十四条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关于在线、远程庭审工作的具体操作规则由审判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监督庭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>审判管理办公室、研究室)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负责起草，并报院审判委员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会</w:t>
      </w:r>
      <w:r>
        <w:rPr>
          <w:rFonts w:ascii="FangSong" w:hAnsi="FangSong" w:eastAsia="FangSong" w:cs="FangSong"/>
          <w:sz w:val="31"/>
          <w:szCs w:val="31"/>
        </w:rPr>
        <w:t>审议通过。</w:t>
      </w:r>
    </w:p>
    <w:p>
      <w:pPr>
        <w:ind w:left="643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第十五条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本意见由本院审判委员会负责解释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643"/>
        <w:spacing w:before="19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第十</w:t>
      </w:r>
      <w:r>
        <w:rPr>
          <w:rFonts w:ascii="FangSong" w:hAnsi="FangSong" w:eastAsia="FangSong" w:cs="FangSong"/>
          <w:sz w:val="31"/>
          <w:szCs w:val="31"/>
          <w:spacing w:val="4"/>
        </w:rPr>
        <w:t>六</w:t>
      </w:r>
      <w:r>
        <w:rPr>
          <w:rFonts w:ascii="FangSong" w:hAnsi="FangSong" w:eastAsia="FangSong" w:cs="FangSong"/>
          <w:sz w:val="31"/>
          <w:szCs w:val="31"/>
          <w:spacing w:val="3"/>
        </w:rPr>
        <w:t>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本意见自公布之日起施行。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5194" w:right="904" w:hanging="418"/>
        <w:spacing w:before="100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上海</w:t>
      </w:r>
      <w:r>
        <w:rPr>
          <w:rFonts w:ascii="FangSong" w:hAnsi="FangSong" w:eastAsia="FangSong" w:cs="FangSong"/>
          <w:sz w:val="31"/>
          <w:szCs w:val="31"/>
          <w:spacing w:val="3"/>
        </w:rPr>
        <w:t>市青浦区人民法院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2</w:t>
      </w:r>
      <w:r>
        <w:rPr>
          <w:rFonts w:ascii="FangSong" w:hAnsi="FangSong" w:eastAsia="FangSong" w:cs="FangSong"/>
          <w:sz w:val="31"/>
          <w:szCs w:val="31"/>
          <w:spacing w:val="-18"/>
        </w:rPr>
        <w:t>020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年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6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月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20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日</w:t>
      </w:r>
    </w:p>
    <w:p>
      <w:pPr>
        <w:sectPr>
          <w:footerReference w:type="default" r:id="rId5"/>
          <w:pgSz w:w="11906" w:h="16839"/>
          <w:pgMar w:top="1431" w:right="1468" w:bottom="1477" w:left="1618" w:header="0" w:footer="1199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7" w:lineRule="exact"/>
        <w:rPr/>
      </w:pPr>
      <w:r/>
    </w:p>
    <w:tbl>
      <w:tblPr>
        <w:tblStyle w:val="2"/>
        <w:tblW w:w="8846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8846"/>
      </w:tblGrid>
      <w:tr>
        <w:trPr>
          <w:trHeight w:val="665" w:hRule="atLeast"/>
        </w:trPr>
        <w:tc>
          <w:tcPr>
            <w:tcW w:w="884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94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承办部门：上海市青浦区人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民法院审判监督庭</w:t>
            </w:r>
          </w:p>
        </w:tc>
      </w:tr>
      <w:tr>
        <w:trPr>
          <w:trHeight w:val="625" w:hRule="atLeast"/>
        </w:trPr>
        <w:tc>
          <w:tcPr>
            <w:tcW w:w="884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5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上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海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市青浦区人民法院办公室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          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2020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7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9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07" w:h="16840"/>
      <w:pgMar w:top="1431" w:right="1472" w:bottom="400" w:left="15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7"/>
      <w:spacing w:line="18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-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1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-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2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</w:t>
    </w:r>
    <w:r>
      <w:rPr>
        <w:rFonts w:ascii="SimSun" w:hAnsi="SimSun" w:eastAsia="SimSun" w:cs="SimSun"/>
        <w:sz w:val="28"/>
        <w:szCs w:val="28"/>
        <w:spacing w:val="-2"/>
      </w:rPr>
      <w:t xml:space="preserve"> </w:t>
    </w:r>
    <w:r>
      <w:rPr>
        <w:rFonts w:ascii="SimSun" w:hAnsi="SimSun" w:eastAsia="SimSun" w:cs="SimSun"/>
        <w:sz w:val="28"/>
        <w:szCs w:val="28"/>
        <w:spacing w:val="-2"/>
      </w:rPr>
      <w:t>3</w:t>
    </w:r>
    <w:r>
      <w:rPr>
        <w:rFonts w:ascii="SimSun" w:hAnsi="SimSun" w:eastAsia="SimSun" w:cs="SimSun"/>
        <w:sz w:val="28"/>
        <w:szCs w:val="28"/>
        <w:spacing w:val="-2"/>
      </w:rPr>
      <w:t xml:space="preserve"> </w:t>
    </w:r>
    <w:r>
      <w:rPr>
        <w:rFonts w:ascii="SimSun" w:hAnsi="SimSun" w:eastAsia="SimSun" w:cs="SimSun"/>
        <w:sz w:val="28"/>
        <w:szCs w:val="28"/>
        <w:spacing w:val="-2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-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4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SimSun" w:hAnsi="SimSun" w:eastAsia="SimSun" w:cs="SimSun"/>
        <w:sz w:val="28"/>
        <w:szCs w:val="28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-</w:t>
    </w:r>
    <w:r>
      <w:rPr>
        <w:rFonts w:ascii="SimSun" w:hAnsi="SimSun" w:eastAsia="SimSun" w:cs="SimSun"/>
        <w:sz w:val="28"/>
        <w:szCs w:val="28"/>
        <w:spacing w:val="-2"/>
      </w:rPr>
      <w:t xml:space="preserve"> </w:t>
    </w:r>
    <w:r>
      <w:rPr>
        <w:rFonts w:ascii="SimSun" w:hAnsi="SimSun" w:eastAsia="SimSun" w:cs="SimSun"/>
        <w:sz w:val="28"/>
        <w:szCs w:val="28"/>
        <w:spacing w:val="-2"/>
      </w:rPr>
      <w:t>5</w:t>
    </w:r>
    <w:r>
      <w:rPr>
        <w:rFonts w:ascii="SimSun" w:hAnsi="SimSun" w:eastAsia="SimSun" w:cs="SimSun"/>
        <w:sz w:val="28"/>
        <w:szCs w:val="28"/>
        <w:spacing w:val="-2"/>
      </w:rPr>
      <w:t xml:space="preserve"> </w:t>
    </w:r>
    <w:r>
      <w:rPr>
        <w:rFonts w:ascii="SimSun" w:hAnsi="SimSun" w:eastAsia="SimSun" w:cs="SimSun"/>
        <w:sz w:val="28"/>
        <w:szCs w:val="28"/>
        <w:spacing w:val="-2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青法〔2020〕41号</dc:title>
  <dc:creator>Windows 用户</dc:creator>
  <dcterms:created xsi:type="dcterms:W3CDTF">2023-02-08T15:06:37Z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2023-05-12T10:50:44</vt:filetime>
  </op:property>
</op:Properties>
</file>