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adjustRightInd w:val="0"/>
        <w:snapToGrid w:val="0"/>
        <w:spacing w:before="0" w:beforeAutospacing="0" w:after="0" w:afterAutospacing="0" w:line="480" w:lineRule="exact"/>
        <w:ind w:firstLine="0" w:firstLineChars="0"/>
        <w:jc w:val="center"/>
        <w:rPr>
          <w:rStyle w:val="8"/>
          <w:rFonts w:hint="eastAsia" w:ascii="方正小标宋简体" w:hAnsi="Times New Roman" w:eastAsia="方正小标宋简体" w:cs="黑体"/>
          <w:b w:val="0"/>
          <w:bCs w:val="0"/>
          <w:kern w:val="2"/>
          <w:sz w:val="32"/>
          <w:szCs w:val="32"/>
          <w:highlight w:val="none"/>
        </w:rPr>
      </w:pPr>
      <w:r>
        <w:rPr>
          <w:rStyle w:val="8"/>
          <w:rFonts w:hint="eastAsia" w:ascii="方正小标宋简体" w:hAnsi="Times New Roman" w:eastAsia="方正小标宋简体" w:cs="黑体"/>
          <w:b w:val="0"/>
          <w:bCs w:val="0"/>
          <w:kern w:val="2"/>
          <w:sz w:val="32"/>
          <w:szCs w:val="32"/>
          <w:highlight w:val="none"/>
        </w:rPr>
        <w:t>临 时 管 理 规 约</w:t>
      </w:r>
    </w:p>
    <w:p>
      <w:pPr>
        <w:spacing w:line="480" w:lineRule="exact"/>
        <w:ind w:firstLine="0" w:firstLineChars="0"/>
        <w:rPr>
          <w:rFonts w:hint="eastAsia"/>
          <w:szCs w:val="21"/>
          <w:highlight w:val="none"/>
        </w:rPr>
      </w:pPr>
    </w:p>
    <w:p>
      <w:pPr>
        <w:pStyle w:val="5"/>
        <w:adjustRightInd w:val="0"/>
        <w:snapToGrid w:val="0"/>
        <w:jc w:val="center"/>
        <w:rPr>
          <w:rFonts w:hint="eastAsia"/>
          <w:szCs w:val="21"/>
          <w:highlight w:val="none"/>
        </w:rPr>
      </w:pPr>
      <w:r>
        <w:rPr>
          <w:rStyle w:val="8"/>
          <w:rFonts w:ascii="仿宋_GB2312" w:hAnsi="仿宋_GB2312" w:eastAsia="仿宋_GB2312" w:cs="仿宋_GB2312"/>
          <w:b/>
          <w:bCs/>
          <w:kern w:val="2"/>
          <w:sz w:val="28"/>
          <w:szCs w:val="28"/>
        </w:rPr>
        <w:t>使 用 说 明</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Adobe 仿宋 Std R" w:eastAsia="仿宋_GB2312" w:cs="Adobe 仿宋 Std R"/>
          <w:color w:val="000000"/>
          <w:kern w:val="0"/>
          <w:sz w:val="24"/>
          <w:szCs w:val="24"/>
          <w:highlight w:val="none"/>
          <w:lang w:bidi="ar"/>
        </w:rPr>
      </w:pPr>
      <w:r>
        <w:rPr>
          <w:rFonts w:hint="eastAsia" w:ascii="仿宋_GB2312" w:hAnsi="Adobe 仿宋 Std R" w:eastAsia="仿宋_GB2312" w:cs="Adobe 仿宋 Std R"/>
          <w:color w:val="000000"/>
          <w:kern w:val="0"/>
          <w:sz w:val="24"/>
          <w:szCs w:val="24"/>
          <w:highlight w:val="none"/>
          <w:lang w:bidi="ar"/>
        </w:rPr>
        <w:t>1.</w:t>
      </w:r>
      <w:bookmarkStart w:id="0" w:name="_Hlk235621391"/>
      <w:r>
        <w:rPr>
          <w:rFonts w:hint="eastAsia" w:ascii="仿宋_GB2312" w:hAnsi="Adobe 仿宋 Std R" w:eastAsia="仿宋_GB2312" w:cs="Adobe 仿宋 Std R"/>
          <w:color w:val="000000"/>
          <w:kern w:val="0"/>
          <w:sz w:val="24"/>
          <w:szCs w:val="24"/>
          <w:highlight w:val="none"/>
          <w:lang w:bidi="ar"/>
        </w:rPr>
        <w:t>本规约为示范文本，适用于本市住宅物业管理区域内，业主、使用人有关物业使用、维护、管理和业主共有资金的使用、管理，业主的共同利益，业主</w:t>
      </w:r>
      <w:r>
        <w:rPr>
          <w:rFonts w:hint="eastAsia" w:ascii="仿宋_GB2312" w:hAnsi="Adobe 仿宋 Std R" w:eastAsia="仿宋_GB2312" w:cs="Adobe 仿宋 Std R"/>
          <w:color w:val="000000"/>
          <w:kern w:val="0"/>
          <w:sz w:val="24"/>
          <w:szCs w:val="24"/>
          <w:highlight w:val="none"/>
          <w:lang w:eastAsia="zh-CN" w:bidi="ar"/>
        </w:rPr>
        <w:t>应当</w:t>
      </w:r>
      <w:r>
        <w:rPr>
          <w:rFonts w:hint="eastAsia" w:ascii="仿宋_GB2312" w:hAnsi="Adobe 仿宋 Std R" w:eastAsia="仿宋_GB2312" w:cs="Adobe 仿宋 Std R"/>
          <w:color w:val="000000"/>
          <w:kern w:val="0"/>
          <w:sz w:val="24"/>
          <w:szCs w:val="24"/>
          <w:highlight w:val="none"/>
          <w:lang w:bidi="ar"/>
        </w:rPr>
        <w:t>履行的义务等涉及业主共同利益事项的约定和执行</w:t>
      </w:r>
      <w:bookmarkEnd w:id="0"/>
      <w:r>
        <w:rPr>
          <w:rFonts w:hint="eastAsia" w:ascii="仿宋_GB2312" w:hAnsi="Adobe 仿宋 Std R" w:eastAsia="仿宋_GB2312" w:cs="Adobe 仿宋 Std R"/>
          <w:color w:val="000000"/>
          <w:kern w:val="0"/>
          <w:sz w:val="24"/>
          <w:szCs w:val="24"/>
          <w:highlight w:val="none"/>
          <w:lang w:bidi="ar"/>
        </w:rPr>
        <w:t>。</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Adobe 仿宋 Std R" w:eastAsia="仿宋_GB2312" w:cs="Adobe 仿宋 Std R"/>
          <w:color w:val="000000"/>
          <w:kern w:val="0"/>
          <w:sz w:val="24"/>
          <w:szCs w:val="24"/>
          <w:highlight w:val="none"/>
          <w:lang w:bidi="ar"/>
        </w:rPr>
      </w:pPr>
      <w:r>
        <w:rPr>
          <w:rFonts w:hint="eastAsia" w:ascii="仿宋_GB2312" w:hAnsi="Adobe 仿宋 Std R" w:eastAsia="仿宋_GB2312" w:cs="Adobe 仿宋 Std R"/>
          <w:color w:val="000000"/>
          <w:kern w:val="0"/>
          <w:sz w:val="24"/>
          <w:szCs w:val="24"/>
          <w:highlight w:val="none"/>
          <w:lang w:bidi="ar"/>
        </w:rPr>
        <w:t>2.临时管理规约是对业主、使用人具有普遍约束力的自律性规范；是有效调整业主权利与义务关系的基础性文本。前期物业服务企业</w:t>
      </w:r>
      <w:r>
        <w:rPr>
          <w:rFonts w:hint="eastAsia" w:ascii="仿宋_GB2312" w:hAnsi="Adobe 仿宋 Std R" w:eastAsia="仿宋_GB2312" w:cs="Adobe 仿宋 Std R"/>
          <w:color w:val="000000"/>
          <w:kern w:val="0"/>
          <w:sz w:val="24"/>
          <w:szCs w:val="24"/>
          <w:highlight w:val="none"/>
          <w:lang w:eastAsia="zh-CN" w:bidi="ar"/>
        </w:rPr>
        <w:t>应当</w:t>
      </w:r>
      <w:r>
        <w:rPr>
          <w:rFonts w:hint="eastAsia" w:ascii="仿宋_GB2312" w:hAnsi="Adobe 仿宋 Std R" w:eastAsia="仿宋_GB2312" w:cs="Adobe 仿宋 Std R"/>
          <w:color w:val="000000"/>
          <w:kern w:val="0"/>
          <w:sz w:val="24"/>
          <w:szCs w:val="24"/>
          <w:highlight w:val="none"/>
          <w:lang w:bidi="ar"/>
        </w:rPr>
        <w:t>遵守约定，配合规约的实施。</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Adobe 仿宋 Std R" w:eastAsia="仿宋_GB2312" w:cs="Adobe 仿宋 Std R"/>
          <w:color w:val="000000"/>
          <w:kern w:val="0"/>
          <w:sz w:val="24"/>
          <w:szCs w:val="24"/>
          <w:highlight w:val="none"/>
          <w:lang w:bidi="ar"/>
        </w:rPr>
      </w:pPr>
      <w:r>
        <w:rPr>
          <w:rFonts w:hint="eastAsia" w:ascii="仿宋_GB2312" w:hAnsi="Adobe 仿宋 Std R" w:eastAsia="仿宋_GB2312" w:cs="Adobe 仿宋 Std R"/>
          <w:color w:val="000000"/>
          <w:kern w:val="0"/>
          <w:sz w:val="24"/>
          <w:szCs w:val="24"/>
          <w:highlight w:val="none"/>
          <w:lang w:bidi="ar"/>
        </w:rPr>
        <w:t>3.本规约由建设单位制定，为房屋销售合同的附件。物业买受人对规约条款及专业用词理解不一致的，可向建设单位</w:t>
      </w:r>
      <w:r>
        <w:rPr>
          <w:rFonts w:hint="eastAsia" w:ascii="仿宋_GB2312" w:hAnsi="Adobe 仿宋 Std R" w:eastAsia="仿宋_GB2312" w:cs="Adobe 仿宋 Std R"/>
          <w:color w:val="000000"/>
          <w:kern w:val="0"/>
          <w:sz w:val="24"/>
          <w:szCs w:val="24"/>
          <w:highlight w:val="none"/>
          <w:lang w:eastAsia="zh-CN" w:bidi="ar"/>
        </w:rPr>
        <w:t>和</w:t>
      </w:r>
      <w:r>
        <w:rPr>
          <w:rFonts w:hint="eastAsia" w:ascii="仿宋_GB2312" w:hAnsi="Adobe 仿宋 Std R" w:eastAsia="仿宋_GB2312" w:cs="Adobe 仿宋 Std R"/>
          <w:color w:val="000000"/>
          <w:kern w:val="0"/>
          <w:sz w:val="24"/>
          <w:szCs w:val="24"/>
          <w:highlight w:val="none"/>
          <w:lang w:bidi="ar"/>
        </w:rPr>
        <w:t>物业所在地</w:t>
      </w:r>
      <w:r>
        <w:rPr>
          <w:rFonts w:hint="eastAsia" w:ascii="仿宋_GB2312" w:hAnsi="Adobe 仿宋 Std R" w:eastAsia="仿宋_GB2312" w:cs="Adobe 仿宋 Std R"/>
          <w:bCs w:val="0"/>
          <w:color w:val="000000"/>
          <w:kern w:val="0"/>
          <w:sz w:val="24"/>
          <w:szCs w:val="24"/>
          <w:highlight w:val="none"/>
          <w:lang w:bidi="ar"/>
        </w:rPr>
        <w:t>乡</w:t>
      </w:r>
      <w:r>
        <w:rPr>
          <w:rFonts w:hint="eastAsia" w:ascii="仿宋_GB2312" w:hAnsi="Adobe 仿宋 Std R" w:eastAsia="仿宋_GB2312" w:cs="Adobe 仿宋 Std R"/>
          <w:bCs w:val="0"/>
          <w:color w:val="000000"/>
          <w:kern w:val="0"/>
          <w:sz w:val="24"/>
          <w:szCs w:val="24"/>
          <w:highlight w:val="none"/>
          <w:lang w:eastAsia="zh-CN" w:bidi="ar"/>
        </w:rPr>
        <w:t>、</w:t>
      </w:r>
      <w:r>
        <w:rPr>
          <w:rFonts w:hint="eastAsia" w:ascii="仿宋_GB2312" w:hAnsi="Adobe 仿宋 Std R" w:eastAsia="仿宋_GB2312" w:cs="Adobe 仿宋 Std R"/>
          <w:bCs w:val="0"/>
          <w:color w:val="000000"/>
          <w:kern w:val="0"/>
          <w:sz w:val="24"/>
          <w:szCs w:val="24"/>
          <w:highlight w:val="none"/>
          <w:lang w:bidi="ar"/>
        </w:rPr>
        <w:t>镇人民政府</w:t>
      </w:r>
      <w:r>
        <w:rPr>
          <w:rFonts w:hint="eastAsia" w:ascii="仿宋_GB2312" w:hAnsi="Adobe 仿宋 Std R" w:eastAsia="仿宋_GB2312" w:cs="Adobe 仿宋 Std R"/>
          <w:bCs w:val="0"/>
          <w:color w:val="000000"/>
          <w:kern w:val="0"/>
          <w:sz w:val="24"/>
          <w:szCs w:val="24"/>
          <w:highlight w:val="none"/>
          <w:lang w:eastAsia="zh-CN" w:bidi="ar"/>
        </w:rPr>
        <w:t>或者</w:t>
      </w:r>
      <w:r>
        <w:rPr>
          <w:rFonts w:hint="eastAsia" w:ascii="仿宋_GB2312" w:hAnsi="Adobe 仿宋 Std R" w:eastAsia="仿宋_GB2312" w:cs="Adobe 仿宋 Std R"/>
          <w:bCs w:val="0"/>
          <w:color w:val="000000"/>
          <w:kern w:val="0"/>
          <w:sz w:val="24"/>
          <w:szCs w:val="24"/>
          <w:highlight w:val="none"/>
          <w:lang w:bidi="ar"/>
        </w:rPr>
        <w:t>街道办事处（以下简称</w:t>
      </w:r>
      <w:r>
        <w:rPr>
          <w:rFonts w:hint="eastAsia" w:ascii="仿宋_GB2312" w:hAnsi="Adobe 仿宋 Std R" w:eastAsia="仿宋_GB2312" w:cs="Adobe 仿宋 Std R"/>
          <w:color w:val="000000"/>
          <w:kern w:val="0"/>
          <w:sz w:val="24"/>
          <w:szCs w:val="24"/>
          <w:highlight w:val="none"/>
          <w:lang w:bidi="ar"/>
        </w:rPr>
        <w:t>属地街镇）和市、区房屋行政管理部门咨询。物业买受人在与建设单位签订房屋销售合同时，</w:t>
      </w:r>
      <w:r>
        <w:rPr>
          <w:rFonts w:hint="eastAsia" w:ascii="仿宋_GB2312" w:hAnsi="Adobe 仿宋 Std R" w:eastAsia="仿宋_GB2312" w:cs="Adobe 仿宋 Std R"/>
          <w:color w:val="000000"/>
          <w:kern w:val="0"/>
          <w:sz w:val="24"/>
          <w:szCs w:val="24"/>
          <w:highlight w:val="none"/>
          <w:lang w:eastAsia="zh-CN" w:bidi="ar"/>
        </w:rPr>
        <w:t>应当</w:t>
      </w:r>
      <w:r>
        <w:rPr>
          <w:rFonts w:hint="eastAsia" w:ascii="仿宋_GB2312" w:hAnsi="Adobe 仿宋 Std R" w:eastAsia="仿宋_GB2312" w:cs="Adobe 仿宋 Std R"/>
          <w:color w:val="000000"/>
          <w:kern w:val="0"/>
          <w:sz w:val="24"/>
          <w:szCs w:val="24"/>
          <w:highlight w:val="none"/>
          <w:lang w:bidi="ar"/>
        </w:rPr>
        <w:t>书面承诺遵守本规约。</w:t>
      </w:r>
    </w:p>
    <w:p>
      <w:pPr>
        <w:keepNext w:val="0"/>
        <w:keepLines w:val="0"/>
        <w:pageBreakBefore w:val="0"/>
        <w:widowControl/>
        <w:tabs>
          <w:tab w:val="left" w:leader="underscore" w:pos="6930"/>
        </w:tabs>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Adobe 仿宋 Std R" w:eastAsia="仿宋_GB2312" w:cs="Adobe 仿宋 Std R"/>
          <w:color w:val="000000"/>
          <w:kern w:val="0"/>
          <w:sz w:val="24"/>
          <w:szCs w:val="24"/>
          <w:highlight w:val="none"/>
          <w:lang w:bidi="ar"/>
        </w:rPr>
      </w:pPr>
      <w:r>
        <w:rPr>
          <w:rFonts w:hint="eastAsia" w:ascii="仿宋_GB2312" w:hAnsi="Adobe 仿宋 Std R" w:eastAsia="仿宋_GB2312" w:cs="Adobe 仿宋 Std R"/>
          <w:color w:val="000000"/>
          <w:kern w:val="0"/>
          <w:sz w:val="24"/>
          <w:szCs w:val="24"/>
          <w:highlight w:val="none"/>
          <w:lang w:bidi="ar"/>
        </w:rPr>
        <w:t>4.在未制定新的版本前，本版本延续使用。本规约使用期间，遇法律法规、政策规定等调整的，按调整后的法律法规、政策规定等执行。</w:t>
      </w:r>
    </w:p>
    <w:p>
      <w:pPr>
        <w:tabs>
          <w:tab w:val="left" w:leader="underscore" w:pos="6930"/>
        </w:tabs>
        <w:spacing w:line="440" w:lineRule="exact"/>
        <w:ind w:firstLine="0" w:firstLineChars="0"/>
        <w:jc w:val="center"/>
        <w:outlineLvl w:val="0"/>
        <w:rPr>
          <w:rStyle w:val="8"/>
          <w:rFonts w:hint="eastAsia" w:ascii="方正小标宋简体" w:hAnsi="Times New Roman" w:eastAsia="方正小标宋简体" w:cs="黑体"/>
          <w:b w:val="0"/>
          <w:bCs w:val="0"/>
          <w:kern w:val="2"/>
          <w:sz w:val="32"/>
          <w:szCs w:val="32"/>
          <w:highlight w:val="none"/>
        </w:rPr>
      </w:pPr>
      <w:r>
        <w:rPr>
          <w:rFonts w:hint="eastAsia" w:hAnsi="宋体" w:cs="仿宋_GB2312"/>
          <w:color w:val="000000"/>
          <w:kern w:val="0"/>
          <w:sz w:val="24"/>
          <w:szCs w:val="24"/>
          <w:highlight w:val="none"/>
          <w:lang w:bidi="ar"/>
        </w:rPr>
        <w:br w:type="page"/>
      </w:r>
      <w:r>
        <w:rPr>
          <w:rStyle w:val="8"/>
          <w:rFonts w:hint="eastAsia" w:ascii="方正小标宋简体" w:hAnsi="Times New Roman" w:eastAsia="方正小标宋简体" w:cs="黑体"/>
          <w:b w:val="0"/>
          <w:bCs w:val="0"/>
          <w:kern w:val="2"/>
          <w:sz w:val="32"/>
          <w:szCs w:val="32"/>
          <w:highlight w:val="none"/>
        </w:rPr>
        <w:t>临</w:t>
      </w:r>
      <w:bookmarkStart w:id="1" w:name="_Hlk235621573"/>
      <w:r>
        <w:rPr>
          <w:rStyle w:val="8"/>
          <w:rFonts w:hint="eastAsia" w:ascii="方正小标宋简体" w:hAnsi="Times New Roman" w:eastAsia="方正小标宋简体" w:cs="黑体"/>
          <w:b w:val="0"/>
          <w:bCs w:val="0"/>
          <w:sz w:val="32"/>
          <w:szCs w:val="32"/>
          <w:highlight w:val="none"/>
        </w:rPr>
        <w:t xml:space="preserve"> </w:t>
      </w:r>
      <w:bookmarkEnd w:id="1"/>
      <w:r>
        <w:rPr>
          <w:rStyle w:val="8"/>
          <w:rFonts w:hint="eastAsia" w:ascii="方正小标宋简体" w:hAnsi="Times New Roman" w:eastAsia="方正小标宋简体" w:cs="黑体"/>
          <w:b w:val="0"/>
          <w:bCs w:val="0"/>
          <w:kern w:val="2"/>
          <w:sz w:val="32"/>
          <w:szCs w:val="32"/>
          <w:highlight w:val="none"/>
        </w:rPr>
        <w:t>时</w:t>
      </w:r>
      <w:r>
        <w:rPr>
          <w:rStyle w:val="8"/>
          <w:rFonts w:hint="eastAsia" w:ascii="方正小标宋简体" w:hAnsi="Times New Roman" w:eastAsia="方正小标宋简体" w:cs="黑体"/>
          <w:b w:val="0"/>
          <w:bCs w:val="0"/>
          <w:sz w:val="32"/>
          <w:szCs w:val="32"/>
          <w:highlight w:val="none"/>
        </w:rPr>
        <w:t xml:space="preserve"> </w:t>
      </w:r>
      <w:r>
        <w:rPr>
          <w:rStyle w:val="8"/>
          <w:rFonts w:hint="eastAsia" w:ascii="方正小标宋简体" w:hAnsi="Times New Roman" w:eastAsia="方正小标宋简体" w:cs="黑体"/>
          <w:b w:val="0"/>
          <w:bCs w:val="0"/>
          <w:kern w:val="2"/>
          <w:sz w:val="32"/>
          <w:szCs w:val="32"/>
          <w:highlight w:val="none"/>
        </w:rPr>
        <w:t>管</w:t>
      </w:r>
      <w:r>
        <w:rPr>
          <w:rStyle w:val="8"/>
          <w:rFonts w:hint="eastAsia" w:ascii="方正小标宋简体" w:hAnsi="Times New Roman" w:eastAsia="方正小标宋简体" w:cs="黑体"/>
          <w:b w:val="0"/>
          <w:bCs w:val="0"/>
          <w:sz w:val="32"/>
          <w:szCs w:val="32"/>
          <w:highlight w:val="none"/>
        </w:rPr>
        <w:t xml:space="preserve"> </w:t>
      </w:r>
      <w:r>
        <w:rPr>
          <w:rStyle w:val="8"/>
          <w:rFonts w:hint="eastAsia" w:ascii="方正小标宋简体" w:hAnsi="Times New Roman" w:eastAsia="方正小标宋简体" w:cs="黑体"/>
          <w:b w:val="0"/>
          <w:bCs w:val="0"/>
          <w:kern w:val="2"/>
          <w:sz w:val="32"/>
          <w:szCs w:val="32"/>
          <w:highlight w:val="none"/>
        </w:rPr>
        <w:t>理</w:t>
      </w:r>
      <w:r>
        <w:rPr>
          <w:rStyle w:val="8"/>
          <w:rFonts w:hint="eastAsia" w:ascii="方正小标宋简体" w:hAnsi="Times New Roman" w:eastAsia="方正小标宋简体" w:cs="黑体"/>
          <w:b w:val="0"/>
          <w:bCs w:val="0"/>
          <w:sz w:val="32"/>
          <w:szCs w:val="32"/>
          <w:highlight w:val="none"/>
        </w:rPr>
        <w:t xml:space="preserve"> </w:t>
      </w:r>
      <w:r>
        <w:rPr>
          <w:rStyle w:val="8"/>
          <w:rFonts w:hint="eastAsia" w:ascii="方正小标宋简体" w:hAnsi="Times New Roman" w:eastAsia="方正小标宋简体" w:cs="黑体"/>
          <w:b w:val="0"/>
          <w:bCs w:val="0"/>
          <w:kern w:val="2"/>
          <w:sz w:val="32"/>
          <w:szCs w:val="32"/>
          <w:highlight w:val="none"/>
        </w:rPr>
        <w:t>规</w:t>
      </w:r>
      <w:r>
        <w:rPr>
          <w:rStyle w:val="8"/>
          <w:rFonts w:hint="eastAsia" w:ascii="方正小标宋简体" w:hAnsi="Times New Roman" w:eastAsia="方正小标宋简体" w:cs="黑体"/>
          <w:b w:val="0"/>
          <w:bCs w:val="0"/>
          <w:sz w:val="32"/>
          <w:szCs w:val="32"/>
          <w:highlight w:val="none"/>
        </w:rPr>
        <w:t xml:space="preserve"> </w:t>
      </w:r>
      <w:r>
        <w:rPr>
          <w:rStyle w:val="8"/>
          <w:rFonts w:hint="eastAsia" w:ascii="方正小标宋简体" w:hAnsi="Times New Roman" w:eastAsia="方正小标宋简体" w:cs="黑体"/>
          <w:b w:val="0"/>
          <w:bCs w:val="0"/>
          <w:kern w:val="2"/>
          <w:sz w:val="32"/>
          <w:szCs w:val="32"/>
          <w:highlight w:val="none"/>
        </w:rPr>
        <w:t>约</w:t>
      </w:r>
    </w:p>
    <w:p>
      <w:pPr>
        <w:pStyle w:val="5"/>
        <w:tabs>
          <w:tab w:val="left" w:leader="underscore" w:pos="6930"/>
        </w:tabs>
        <w:adjustRightInd w:val="0"/>
        <w:snapToGrid w:val="0"/>
        <w:spacing w:before="0" w:beforeAutospacing="0" w:after="0" w:afterAutospacing="0" w:line="480" w:lineRule="exact"/>
        <w:ind w:firstLine="0" w:firstLineChars="0"/>
        <w:jc w:val="left"/>
        <w:rPr>
          <w:rStyle w:val="8"/>
          <w:rFonts w:hint="eastAsia" w:ascii="方正小标宋简体" w:hAnsi="Times New Roman" w:eastAsia="方正小标宋简体" w:cs="黑体"/>
          <w:b/>
          <w:bCs/>
          <w:kern w:val="2"/>
          <w:sz w:val="32"/>
          <w:szCs w:val="32"/>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第一章 总 则</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第一条</w:t>
      </w:r>
      <w:r>
        <w:rPr>
          <w:rFonts w:hint="eastAsia" w:ascii="仿宋_GB2312" w:hAnsi="仿宋_GB2312" w:eastAsia="仿宋_GB2312" w:cs="仿宋_GB2312"/>
          <w:bCs/>
          <w:sz w:val="24"/>
          <w:szCs w:val="24"/>
          <w:highlight w:val="none"/>
        </w:rPr>
        <w:t xml:space="preserve"> 为维护业主、使用人的合法权益，根据有关法律法规的规定，结合上海市</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区</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napToGrid/>
          <w:spacing w:val="0"/>
          <w:kern w:val="2"/>
          <w:sz w:val="24"/>
          <w:szCs w:val="24"/>
          <w:highlight w:val="none"/>
        </w:rPr>
        <w:t>街道/镇</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物业管理区域（以下简称本物业项目）实际情况，制定本规约。</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第二条</w:t>
      </w:r>
      <w:r>
        <w:rPr>
          <w:rFonts w:hint="eastAsia" w:ascii="仿宋_GB2312" w:hAnsi="仿宋_GB2312" w:eastAsia="仿宋_GB2312" w:cs="仿宋_GB2312"/>
          <w:bCs/>
          <w:sz w:val="24"/>
          <w:szCs w:val="24"/>
          <w:highlight w:val="none"/>
        </w:rPr>
        <w:t xml:space="preserve"> 本物业项目倡导邻里和谐、绿色低碳的生活方式。鼓励采用新技术、新方法，营造安全、舒适、文明、和谐、美好的生活环境。</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第三条</w:t>
      </w:r>
      <w:r>
        <w:rPr>
          <w:rFonts w:hint="eastAsia" w:ascii="仿宋_GB2312" w:hAnsi="仿宋_GB2312" w:eastAsia="仿宋_GB2312" w:cs="仿宋_GB2312"/>
          <w:bCs/>
          <w:sz w:val="24"/>
          <w:szCs w:val="24"/>
          <w:highlight w:val="none"/>
        </w:rPr>
        <w:t xml:space="preserve"> 本规约对本物业项目内全体业主、使用人均具有约束力。物业的所有权发生变更时，本规约对原业主的效力及于新的物业继受人。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前期物业服务企业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遵循本规约的内容，依法依规开展物业管理服务活动。</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第四条</w:t>
      </w:r>
      <w:r>
        <w:rPr>
          <w:rFonts w:hint="eastAsia" w:ascii="仿宋_GB2312" w:hAnsi="仿宋_GB2312" w:eastAsia="仿宋_GB2312" w:cs="仿宋_GB2312"/>
          <w:bCs/>
          <w:sz w:val="24"/>
          <w:szCs w:val="24"/>
          <w:highlight w:val="none"/>
        </w:rPr>
        <w:t xml:space="preserve"> 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遵守法律法规的规定，遵守社会公德，不得危及物业的安全，不得损害其他业主、使用人的合法权益，依法履行专有部分的治安、消防、卫生等方面的安全责任。</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业主转让</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出租物业时，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将本规约作为物业转让合同</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租赁合同的附件，同时将转让</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出租物业事项以书面方式告知物业服务企业。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业主转让物业，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结清物业费、专项维修资金及其他依法</w:t>
      </w:r>
      <w:r>
        <w:rPr>
          <w:rFonts w:hint="eastAsia" w:ascii="仿宋_GB2312" w:hAnsi="仿宋_GB2312" w:eastAsia="仿宋_GB2312" w:cs="仿宋_GB2312"/>
          <w:bCs/>
          <w:sz w:val="24"/>
          <w:szCs w:val="24"/>
          <w:highlight w:val="none"/>
          <w:lang w:eastAsia="zh-CN"/>
        </w:rPr>
        <w:t>依规应当</w:t>
      </w:r>
      <w:r>
        <w:rPr>
          <w:rFonts w:hint="eastAsia" w:ascii="仿宋_GB2312" w:hAnsi="仿宋_GB2312" w:eastAsia="仿宋_GB2312" w:cs="仿宋_GB2312"/>
          <w:bCs/>
          <w:sz w:val="24"/>
          <w:szCs w:val="24"/>
          <w:highlight w:val="none"/>
        </w:rPr>
        <w:t>由业主承担的费用。未结清的，原业主仍负有清偿义务。</w:t>
      </w:r>
    </w:p>
    <w:p>
      <w:pPr>
        <w:pStyle w:val="3"/>
        <w:spacing w:line="440" w:lineRule="exact"/>
        <w:ind w:firstLine="480"/>
        <w:rPr>
          <w:rFonts w:hint="eastAsia" w:ascii="仿宋_GB2312" w:hAnsi="仿宋_GB2312" w:eastAsia="仿宋_GB2312" w:cs="仿宋_GB2312"/>
          <w:bCs/>
          <w:sz w:val="24"/>
          <w:szCs w:val="24"/>
          <w:highlight w:val="none"/>
          <w:lang w:val="en-US"/>
        </w:rPr>
      </w:pPr>
      <w:r>
        <w:rPr>
          <w:rFonts w:hint="eastAsia" w:ascii="仿宋_GB2312" w:hAnsi="仿宋_GB2312" w:eastAsia="仿宋_GB2312" w:cs="仿宋_GB2312"/>
          <w:bCs/>
          <w:sz w:val="24"/>
          <w:szCs w:val="24"/>
          <w:highlight w:val="none"/>
          <w:lang w:val="en-US" w:bidi="ar-SA"/>
        </w:rPr>
        <w:t>物业服务企业发生更迭的，业主</w:t>
      </w:r>
      <w:r>
        <w:rPr>
          <w:rFonts w:hint="eastAsia" w:ascii="仿宋_GB2312" w:hAnsi="仿宋_GB2312" w:eastAsia="仿宋_GB2312" w:cs="仿宋_GB2312"/>
          <w:bCs/>
          <w:sz w:val="24"/>
          <w:szCs w:val="24"/>
          <w:highlight w:val="none"/>
          <w:lang w:val="en-US" w:eastAsia="zh-CN" w:bidi="ar-SA"/>
        </w:rPr>
        <w:t>应当</w:t>
      </w:r>
      <w:r>
        <w:rPr>
          <w:rFonts w:hint="eastAsia" w:ascii="仿宋_GB2312" w:hAnsi="仿宋_GB2312" w:eastAsia="仿宋_GB2312" w:cs="仿宋_GB2312"/>
          <w:bCs/>
          <w:sz w:val="24"/>
          <w:szCs w:val="24"/>
          <w:highlight w:val="none"/>
          <w:lang w:val="en-US" w:bidi="ar-SA"/>
        </w:rPr>
        <w:t>与原物业服务企业结清物业费等相关费用。</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
          <w:sz w:val="24"/>
          <w:szCs w:val="24"/>
          <w:highlight w:val="none"/>
        </w:rPr>
        <w:t>第五条</w:t>
      </w:r>
      <w:r>
        <w:rPr>
          <w:rFonts w:hint="eastAsia" w:ascii="仿宋_GB2312" w:hAnsi="仿宋_GB2312" w:eastAsia="仿宋_GB2312" w:cs="仿宋_GB2312"/>
          <w:bCs/>
          <w:sz w:val="24"/>
          <w:szCs w:val="24"/>
          <w:highlight w:val="none"/>
        </w:rPr>
        <w:t xml:space="preserve"> 业主在物业管理活动中，依法享有下列权利</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（一）按照前期物业服务合同的约定，接受物业服务企业提供的服务；</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（二）参加业主大会会议，发表意见，行使投票权；</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（三）选举业主委员会，并依法依规享有被选举权；</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（四）监督物业服务企业履行</w:t>
      </w:r>
      <w:r>
        <w:rPr>
          <w:rFonts w:hint="eastAsia" w:ascii="仿宋_GB2312" w:hAnsi="仿宋_GB2312" w:eastAsia="仿宋_GB2312" w:cs="仿宋_GB2312"/>
          <w:sz w:val="24"/>
          <w:szCs w:val="24"/>
          <w:highlight w:val="none"/>
        </w:rPr>
        <w:t>前期</w:t>
      </w:r>
      <w:r>
        <w:rPr>
          <w:rFonts w:hint="eastAsia" w:ascii="仿宋_GB2312" w:hAnsi="仿宋_GB2312" w:eastAsia="仿宋_GB2312" w:cs="仿宋_GB2312"/>
          <w:bCs/>
          <w:sz w:val="24"/>
          <w:szCs w:val="24"/>
          <w:highlight w:val="none"/>
        </w:rPr>
        <w:t>物业服务合同的情况；</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（五）对共有部分和业主共有资金使用管理的知情权和监督权；</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（六）就修改本规约、前期物业服务合同，制订业主大会议事规则等物业管理事项提出意见和建议；</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（八）法律法规规定</w:t>
      </w:r>
      <w:r>
        <w:rPr>
          <w:rFonts w:hint="eastAsia" w:ascii="仿宋_GB2312" w:hAnsi="仿宋_GB2312" w:eastAsia="仿宋_GB2312" w:cs="仿宋_GB2312"/>
          <w:bCs/>
          <w:sz w:val="24"/>
          <w:szCs w:val="24"/>
          <w:highlight w:val="none"/>
          <w:lang w:eastAsia="zh-CN"/>
        </w:rPr>
        <w:t>和本规约约定</w:t>
      </w:r>
      <w:r>
        <w:rPr>
          <w:rFonts w:hint="eastAsia" w:ascii="仿宋_GB2312" w:hAnsi="仿宋_GB2312" w:eastAsia="仿宋_GB2312" w:cs="仿宋_GB2312"/>
          <w:bCs/>
          <w:sz w:val="24"/>
          <w:szCs w:val="24"/>
          <w:highlight w:val="none"/>
        </w:rPr>
        <w:t>的其他权利。</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业主在物业管理活动中，依法履行下列义务：</w:t>
      </w:r>
    </w:p>
    <w:p>
      <w:pPr>
        <w:numPr>
          <w:ilvl w:val="0"/>
          <w:numId w:val="1"/>
        </w:num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遵守本规约以及物业使用、公共秩序和环境卫生等方面的政策；</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（二）按时支付物业费、交纳专项维修资金及其他依法依规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由业主承担的费用；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（三）配合前期物业服务企业实施物业服务；</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（四）履行房屋安全使用责任；</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（五）主动配合属地街镇、居民委员会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村民委员会</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以下简称居（村）委会</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、前期物业服务企业开展消防演练、</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急避险、文明创建等基层治理工作，规范自身及同住人员、访客在本物业项目内的行为；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（七）法律法规规定和本规约约定的其他义务。</w:t>
      </w:r>
    </w:p>
    <w:p>
      <w:pPr>
        <w:pStyle w:val="9"/>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第六条</w:t>
      </w:r>
      <w:r>
        <w:rPr>
          <w:rFonts w:hint="eastAsia" w:ascii="仿宋_GB2312" w:hAnsi="仿宋_GB2312" w:eastAsia="仿宋_GB2312" w:cs="仿宋_GB2312"/>
          <w:bCs/>
          <w:sz w:val="24"/>
          <w:szCs w:val="24"/>
          <w:highlight w:val="none"/>
        </w:rPr>
        <w:t xml:space="preserve"> 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法律法规的规定和本规约的约定，按照有利于物业使用、安全、整洁以及公平、合理、不损害公共利益和他人利益的原则，妥善处理与相邻各方的关系。在处理供电、供水、供气、排水、通行、通风、采光、维修、装饰装修、环境卫生、环境保护（如噪音、振动等）、动物饲养、房屋外观等事宜时，相互提供必要的便利。邻里噪音、漏水、采光、宠物扰民等相邻纠纷，优先由居（村）委会联合前期物业服务企业开展现场劝导调解；调解不成的，引导当事人通过人民调解、诉讼等法定途径解决，相关调解过程及现场情况</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如实记录并存档。</w:t>
      </w: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第二章 物业管理区域及共有部分</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第七条</w:t>
      </w:r>
      <w:r>
        <w:rPr>
          <w:rFonts w:hint="eastAsia" w:ascii="仿宋_GB2312" w:hAnsi="仿宋_GB2312" w:eastAsia="仿宋_GB2312" w:cs="仿宋_GB2312"/>
          <w:bCs/>
          <w:sz w:val="24"/>
          <w:szCs w:val="24"/>
          <w:highlight w:val="none"/>
        </w:rPr>
        <w:t xml:space="preserve"> 本物业管理区域的基本情况</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w:t>
      </w:r>
      <w:r>
        <w:rPr>
          <w:rFonts w:hint="eastAsia" w:ascii="仿宋_GB2312" w:hAnsi="仿宋_GB2312" w:eastAsia="仿宋_GB2312" w:cs="仿宋_GB2312"/>
          <w:bCs/>
          <w:sz w:val="24"/>
          <w:szCs w:val="24"/>
          <w:highlight w:val="none"/>
          <w:lang w:eastAsia="zh-CN"/>
        </w:rPr>
        <w:t>项目</w:t>
      </w:r>
      <w:r>
        <w:rPr>
          <w:rFonts w:hint="eastAsia" w:ascii="仿宋_GB2312" w:hAnsi="仿宋_GB2312" w:eastAsia="仿宋_GB2312" w:cs="仿宋_GB2312"/>
          <w:bCs/>
          <w:sz w:val="24"/>
          <w:szCs w:val="24"/>
          <w:highlight w:val="none"/>
        </w:rPr>
        <w:t>名称：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（二）坐落位置：</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Cs/>
          <w:sz w:val="24"/>
          <w:szCs w:val="24"/>
          <w:highlight w:val="none"/>
        </w:rPr>
        <w:t>（三）总建筑面积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平方米（含专有部分总建筑面积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平方米），其中：专有部分住宅建筑面积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套；专有部分非住宅建筑面积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套（包括专有部分办公建筑面积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套；专有部分商业用房建筑面积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套；专有部分其他类型物业建筑面积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专有部分地下机动车位建筑面积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平方米，车位数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（四）土地宗地号：</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none"/>
          <w:lang w:eastAsia="zh-CN"/>
        </w:rPr>
        <w:t>。</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第八条</w:t>
      </w:r>
      <w:r>
        <w:rPr>
          <w:rFonts w:hint="eastAsia" w:ascii="仿宋_GB2312" w:hAnsi="仿宋_GB2312" w:eastAsia="仿宋_GB2312" w:cs="仿宋_GB2312"/>
          <w:bCs/>
          <w:sz w:val="24"/>
          <w:szCs w:val="24"/>
          <w:highlight w:val="none"/>
        </w:rPr>
        <w:t xml:space="preserve"> 本物业项目内的道路属于业主共有，但属于城市公共道路的除外。本物业项目内的绿地属于业主共有，但属于城市公共绿地</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明示属于私人所有的除外。本物业项目的其他</w:t>
      </w:r>
      <w:r>
        <w:rPr>
          <w:rFonts w:hint="eastAsia" w:ascii="仿宋_GB2312" w:hAnsi="仿宋_GB2312" w:eastAsia="仿宋_GB2312" w:cs="仿宋_GB2312"/>
          <w:bCs/>
          <w:sz w:val="24"/>
          <w:szCs w:val="24"/>
          <w:highlight w:val="none"/>
          <w:lang w:eastAsia="zh-CN"/>
        </w:rPr>
        <w:t>物业共用部位、共用设施设备</w:t>
      </w:r>
      <w:r>
        <w:rPr>
          <w:rFonts w:hint="eastAsia" w:ascii="仿宋_GB2312" w:hAnsi="仿宋_GB2312" w:eastAsia="仿宋_GB2312" w:cs="仿宋_GB2312"/>
          <w:bCs/>
          <w:sz w:val="24"/>
          <w:szCs w:val="24"/>
          <w:highlight w:val="none"/>
        </w:rPr>
        <w:t>，属于业主共有。</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本物业项目内的以下部分属于业主共有：</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（一）建筑物的基础、承重结构、外墙、屋顶等基本结构部分，通道、楼梯、大堂等公共通行部分，避难层、共用地面架空层、共用走廊等；</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（二）附属设施设备，包括电梯、天线、照明、消防设施、沟渠、池、井；</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（三）物业管理用房；</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（四）按规划配建的非机动车库；</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（五）占用业主共有道路</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其他场地增设的车位；</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（六）土地出让合同、建设规划文件明确约定归业主共有的地下车库及配套车位；</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（七）其他不属于业主专有部分，也不属于市政公用部分</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其他权利人所有的场所及设施设备等，如房屋销售合同约定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书面形式承诺的属于业主共有的物业等；</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（九）法律法规规定的其他共有部分。</w:t>
      </w:r>
    </w:p>
    <w:p>
      <w:pPr>
        <w:tabs>
          <w:tab w:val="left" w:leader="underscore" w:pos="6930"/>
        </w:tabs>
        <w:spacing w:line="440" w:lineRule="exact"/>
        <w:ind w:right="0" w:rightChars="0" w:firstLine="482"/>
        <w:outlineLvl w:val="9"/>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第九条</w:t>
      </w:r>
      <w:r>
        <w:rPr>
          <w:rFonts w:hint="eastAsia" w:ascii="仿宋_GB2312" w:hAnsi="仿宋_GB2312" w:eastAsia="仿宋_GB2312" w:cs="仿宋_GB2312"/>
          <w:bCs/>
          <w:sz w:val="24"/>
          <w:szCs w:val="24"/>
          <w:highlight w:val="none"/>
        </w:rPr>
        <w:t xml:space="preserve"> 利用本物业项目共有部分进行经营活动的，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符合相关规定和本规约的约定，经业主共同决定，收益属于业主共有；可能损害</w:t>
      </w:r>
      <w:r>
        <w:rPr>
          <w:rFonts w:hint="eastAsia" w:ascii="仿宋_GB2312" w:hAnsi="仿宋_GB2312" w:eastAsia="仿宋_GB2312" w:cs="仿宋_GB2312"/>
          <w:bCs/>
          <w:sz w:val="24"/>
          <w:szCs w:val="24"/>
          <w:highlight w:val="none"/>
          <w:lang w:eastAsia="zh-CN"/>
        </w:rPr>
        <w:t>部分</w:t>
      </w:r>
      <w:r>
        <w:rPr>
          <w:rFonts w:hint="eastAsia" w:ascii="仿宋_GB2312" w:hAnsi="仿宋_GB2312" w:eastAsia="仿宋_GB2312" w:cs="仿宋_GB2312"/>
          <w:bCs/>
          <w:sz w:val="24"/>
          <w:szCs w:val="24"/>
          <w:highlight w:val="none"/>
        </w:rPr>
        <w:t>业主专有部分享有的合法权益的，还</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经</w:t>
      </w:r>
      <w:r>
        <w:rPr>
          <w:rFonts w:hint="eastAsia" w:ascii="仿宋_GB2312" w:hAnsi="仿宋_GB2312" w:eastAsia="仿宋_GB2312" w:cs="仿宋_GB2312"/>
          <w:bCs/>
          <w:sz w:val="24"/>
          <w:szCs w:val="24"/>
          <w:highlight w:val="none"/>
          <w:lang w:eastAsia="zh-CN"/>
        </w:rPr>
        <w:t>该部分</w:t>
      </w:r>
      <w:r>
        <w:rPr>
          <w:rFonts w:hint="eastAsia" w:ascii="仿宋_GB2312" w:hAnsi="仿宋_GB2312" w:eastAsia="仿宋_GB2312" w:cs="仿宋_GB2312"/>
          <w:bCs/>
          <w:sz w:val="24"/>
          <w:szCs w:val="24"/>
          <w:highlight w:val="none"/>
        </w:rPr>
        <w:t>的业主同意。</w:t>
      </w:r>
    </w:p>
    <w:p>
      <w:pPr>
        <w:tabs>
          <w:tab w:val="left" w:leader="underscore" w:pos="6930"/>
        </w:tabs>
        <w:adjustRightInd/>
        <w:snapToGrid/>
        <w:spacing w:line="440" w:lineRule="exact"/>
        <w:ind w:firstLine="480" w:firstLineChars="0"/>
        <w:jc w:val="left"/>
        <w:outlineLvl w:val="9"/>
        <w:rPr>
          <w:rFonts w:hint="eastAsia" w:ascii="国标黑体" w:hAnsi="国标黑体" w:eastAsia="国标黑体" w:cs="国标黑体"/>
          <w:b/>
          <w:bCs/>
          <w:kern w:val="0"/>
          <w:sz w:val="24"/>
          <w:szCs w:val="24"/>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第三章 物业安全管理与使用</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第十条</w:t>
      </w:r>
      <w:r>
        <w:rPr>
          <w:rFonts w:hint="eastAsia" w:ascii="仿宋_GB2312" w:hAnsi="仿宋_GB2312" w:eastAsia="仿宋_GB2312" w:cs="仿宋_GB2312"/>
          <w:bCs/>
          <w:sz w:val="24"/>
          <w:szCs w:val="24"/>
          <w:highlight w:val="none"/>
        </w:rPr>
        <w:t xml:space="preserve"> 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按照有关政府部门批准</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kern w:val="0"/>
          <w:sz w:val="24"/>
          <w:szCs w:val="24"/>
          <w:highlight w:val="none"/>
        </w:rPr>
        <w:t>不动产权属证书</w:t>
      </w:r>
      <w:r>
        <w:rPr>
          <w:rFonts w:hint="eastAsia" w:ascii="仿宋_GB2312" w:hAnsi="仿宋_GB2312" w:eastAsia="仿宋_GB2312" w:cs="仿宋_GB2312"/>
          <w:bCs/>
          <w:sz w:val="24"/>
          <w:szCs w:val="24"/>
          <w:highlight w:val="none"/>
        </w:rPr>
        <w:t>载明的用途使用物业，不得违背公序良俗，不得擅自改变物业的使用性质。因特殊情况需要改变</w:t>
      </w:r>
      <w:r>
        <w:rPr>
          <w:rFonts w:hint="eastAsia" w:ascii="仿宋_GB2312" w:hAnsi="仿宋_GB2312" w:eastAsia="仿宋_GB2312" w:cs="仿宋_GB2312"/>
          <w:bCs/>
          <w:sz w:val="24"/>
          <w:szCs w:val="24"/>
          <w:highlight w:val="none"/>
          <w:lang w:eastAsia="zh-CN"/>
        </w:rPr>
        <w:t>使用性质</w:t>
      </w:r>
      <w:r>
        <w:rPr>
          <w:rFonts w:hint="eastAsia" w:ascii="仿宋_GB2312" w:hAnsi="仿宋_GB2312" w:eastAsia="仿宋_GB2312" w:cs="仿宋_GB2312"/>
          <w:bCs/>
          <w:sz w:val="24"/>
          <w:szCs w:val="24"/>
          <w:highlight w:val="none"/>
        </w:rPr>
        <w:t>的，除遵守法律法规以及本规约外，还</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征得有利害关系的业主一致同意</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报相关行政管理部门批准</w:t>
      </w:r>
      <w:r>
        <w:rPr>
          <w:rFonts w:hint="eastAsia" w:ascii="仿宋_GB2312" w:hAnsi="仿宋_GB2312" w:eastAsia="仿宋_GB2312" w:cs="仿宋_GB2312"/>
          <w:bCs/>
          <w:sz w:val="24"/>
          <w:szCs w:val="24"/>
          <w:highlight w:val="none"/>
          <w:lang w:eastAsia="zh-CN"/>
        </w:rPr>
        <w:t>、审批或者备案，办理相关手续</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本物业项目内严禁将住宅改变为餐饮、娱乐、宾馆、会所、民宿、鸽棚、宠物房等场所，严禁将住宅用于堆放垃圾、专门用于安放骨灰，</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作为其他违反住宅使用性质的经营性、扰民性场所。</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第十一条</w:t>
      </w:r>
      <w:r>
        <w:rPr>
          <w:rFonts w:hint="eastAsia" w:ascii="仿宋_GB2312" w:hAnsi="仿宋_GB2312" w:eastAsia="仿宋_GB2312" w:cs="仿宋_GB2312"/>
          <w:bCs/>
          <w:sz w:val="24"/>
          <w:szCs w:val="24"/>
          <w:highlight w:val="none"/>
        </w:rPr>
        <w:t xml:space="preserve"> 业主、使用人负责物业专有部分的安全检查、维修、养护、保养，及时消除安全隐患，对其所有的</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使用共有部分的窗户、阳台、空调外机（含外机架）、阳台栏杆、搁置物、悬挂物等可能影响公共安全的物品和设施设备承担安全管理责任。</w:t>
      </w:r>
    </w:p>
    <w:p>
      <w:pPr>
        <w:tabs>
          <w:tab w:val="left" w:leader="underscore" w:pos="6930"/>
        </w:tabs>
        <w:spacing w:line="440" w:lineRule="exact"/>
        <w:ind w:firstLine="480"/>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第十二条</w:t>
      </w:r>
      <w:r>
        <w:rPr>
          <w:rFonts w:hint="eastAsia" w:ascii="仿宋_GB2312" w:hAnsi="仿宋_GB2312" w:eastAsia="仿宋_GB2312" w:cs="仿宋_GB2312"/>
          <w:bCs/>
          <w:sz w:val="24"/>
          <w:szCs w:val="24"/>
          <w:highlight w:val="none"/>
        </w:rPr>
        <w:t xml:space="preserve"> 前期物业服务企业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加强对屋面、平台、外墙、楼梯间等共有部分的日常巡查。发现安全隐患的，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及时处理；发现存在影响供水、排水、供电、供气、通信等设施设备安全情况的，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及时报告相关单位；发现水泵、水箱（池）、电梯、消防设施故障、外墙墙面存在脱落危险、屋顶</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外墙出现渗漏等危及物业安全的紧急情况的，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立即采取</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急防范措施。</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前期物业服务企业对物业维修、更新、改造、养护及配置固定设施设备而形成的资料，</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妥善保管并建立档案。</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第十三条</w:t>
      </w:r>
      <w:r>
        <w:rPr>
          <w:rFonts w:hint="eastAsia" w:ascii="仿宋_GB2312" w:hAnsi="仿宋_GB2312" w:eastAsia="仿宋_GB2312" w:cs="仿宋_GB2312"/>
          <w:bCs/>
          <w:sz w:val="24"/>
          <w:szCs w:val="24"/>
          <w:highlight w:val="none"/>
        </w:rPr>
        <w:t xml:space="preserve"> 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配合有关部门、属地街镇开展房屋使用安全监督管理工作。</w:t>
      </w:r>
    </w:p>
    <w:p>
      <w:pPr>
        <w:tabs>
          <w:tab w:val="left" w:leader="underscore" w:pos="6930"/>
        </w:tabs>
        <w:spacing w:line="440" w:lineRule="exact"/>
        <w:ind w:firstLine="480"/>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积极配合、协助前期物业服务企业对共有部分进行安全检查、维修、更新、改造、养护等工作。</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第十四条 </w:t>
      </w:r>
      <w:r>
        <w:rPr>
          <w:rFonts w:hint="eastAsia" w:ascii="仿宋_GB2312" w:hAnsi="仿宋_GB2312" w:eastAsia="仿宋_GB2312" w:cs="仿宋_GB2312"/>
          <w:bCs/>
          <w:sz w:val="24"/>
          <w:szCs w:val="24"/>
          <w:highlight w:val="none"/>
        </w:rPr>
        <w:t>本物业项目的业主、使用人禁止下列行为：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（一）专有部分</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1.损坏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擅自变动房屋承重结构和主体结构；</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2.超过设计标准增加房屋使用荷载；</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3.未经批准擅自改变房屋内部防火分隔，影响消防安全和疏散要求；</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4.将房间</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阳台改为卫生间、厨房；</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将卫生间改在下层住户的卧室、起居室（厅）、书房和厨房的上方</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5.其他</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lang w:val="en-US"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（二）自然栋</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1.破坏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擅自改变房屋外立面、保温设施、防水层等建筑围护结构；</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2.在建筑顶层搭棚设架和随意堆放杂物；</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在建筑物阳台边沿、窗口及外墙堆放、吊挂物品；</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3.违法搭建建筑物、构筑物</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4.其他</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lang w:val="en-US"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w:t>
      </w:r>
      <w:r>
        <w:rPr>
          <w:rFonts w:hint="eastAsia" w:ascii="仿宋_GB2312" w:hAnsi="仿宋_GB2312" w:eastAsia="仿宋_GB2312" w:cs="仿宋_GB2312"/>
          <w:bCs/>
          <w:sz w:val="24"/>
          <w:szCs w:val="24"/>
          <w:highlight w:val="none"/>
          <w:lang w:eastAsia="zh-CN"/>
        </w:rPr>
        <w:t>其他共用部位</w:t>
      </w:r>
      <w:r>
        <w:rPr>
          <w:rFonts w:hint="eastAsia" w:ascii="仿宋_GB2312" w:hAnsi="仿宋_GB2312" w:eastAsia="仿宋_GB2312" w:cs="仿宋_GB2312"/>
          <w:bCs/>
          <w:sz w:val="24"/>
          <w:szCs w:val="24"/>
          <w:highlight w:val="none"/>
        </w:rPr>
        <w:t>及共</w:t>
      </w:r>
      <w:r>
        <w:rPr>
          <w:rFonts w:hint="eastAsia" w:ascii="仿宋_GB2312" w:hAnsi="仿宋_GB2312" w:eastAsia="仿宋_GB2312" w:cs="仿宋_GB2312"/>
          <w:bCs/>
          <w:sz w:val="24"/>
          <w:szCs w:val="24"/>
          <w:highlight w:val="none"/>
          <w:lang w:eastAsia="zh-CN"/>
        </w:rPr>
        <w:t>用</w:t>
      </w:r>
      <w:r>
        <w:rPr>
          <w:rFonts w:hint="eastAsia" w:ascii="仿宋_GB2312" w:hAnsi="仿宋_GB2312" w:eastAsia="仿宋_GB2312" w:cs="仿宋_GB2312"/>
          <w:bCs/>
          <w:sz w:val="24"/>
          <w:szCs w:val="24"/>
          <w:highlight w:val="none"/>
        </w:rPr>
        <w:t>设施设备</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1.损坏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擅自占用、改建共</w:t>
      </w:r>
      <w:r>
        <w:rPr>
          <w:rFonts w:hint="eastAsia" w:ascii="仿宋_GB2312" w:hAnsi="仿宋_GB2312" w:eastAsia="仿宋_GB2312" w:cs="仿宋_GB2312"/>
          <w:bCs/>
          <w:sz w:val="24"/>
          <w:szCs w:val="24"/>
          <w:highlight w:val="none"/>
          <w:lang w:eastAsia="zh-CN"/>
        </w:rPr>
        <w:t>有部分</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2.损坏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擅自拆除、截断、移装、改变连接</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改造供电、供水、供气、通信、排水、排污、消防、避雷等共用设施设备；</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3.擅自占用、堵塞、封闭本物业项目</w:t>
      </w:r>
      <w:r>
        <w:rPr>
          <w:rFonts w:hint="eastAsia" w:ascii="仿宋_GB2312" w:hAnsi="仿宋_GB2312" w:eastAsia="仿宋_GB2312" w:cs="仿宋_GB2312"/>
          <w:bCs/>
          <w:sz w:val="24"/>
          <w:szCs w:val="24"/>
          <w:highlight w:val="none"/>
          <w:lang w:eastAsia="zh-CN"/>
        </w:rPr>
        <w:t>内</w:t>
      </w:r>
      <w:r>
        <w:rPr>
          <w:rFonts w:hint="eastAsia" w:ascii="仿宋_GB2312" w:hAnsi="仿宋_GB2312" w:eastAsia="仿宋_GB2312" w:cs="仿宋_GB2312"/>
          <w:bCs/>
          <w:sz w:val="24"/>
          <w:szCs w:val="24"/>
          <w:highlight w:val="none"/>
        </w:rPr>
        <w:t>消防通道；</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4.擅自建设、接驳排水系统；</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5.擅自增设围墙等障碍设施，改变物业管理区域格局</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6.其他</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（四）环境秩序</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1.从建筑物内抛掷物品危害他人人身财产安全</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破坏环境卫生等行为；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2.存放不符合安全标准的易燃、易爆、剧毒、放射性等危险性物品；排放有毒、有害物质；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3.擅自占用、改建、扩建本物业项目的道路进行摆摊设点；</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4.侵占</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损坏道路、绿地、花卉树木、艺术景观、文体休闲等设施设备；</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5.在共</w:t>
      </w:r>
      <w:r>
        <w:rPr>
          <w:rFonts w:hint="eastAsia" w:ascii="仿宋_GB2312" w:hAnsi="仿宋_GB2312" w:eastAsia="仿宋_GB2312" w:cs="仿宋_GB2312"/>
          <w:bCs/>
          <w:sz w:val="24"/>
          <w:szCs w:val="24"/>
          <w:highlight w:val="none"/>
          <w:lang w:eastAsia="zh-CN"/>
        </w:rPr>
        <w:t>用部位</w:t>
      </w:r>
      <w:r>
        <w:rPr>
          <w:rFonts w:hint="eastAsia" w:ascii="仿宋_GB2312" w:hAnsi="仿宋_GB2312" w:eastAsia="仿宋_GB2312" w:cs="仿宋_GB2312"/>
          <w:bCs/>
          <w:sz w:val="24"/>
          <w:szCs w:val="24"/>
          <w:highlight w:val="none"/>
        </w:rPr>
        <w:t>悬挂、张贴</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乱涂乱画；</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6.制造超过国家和本市标准的噪声（包括播放高音量影音、举办喧闹聚会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舞会、机器设备发出的噪声等）；</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7.违反有关规定饲养家禽、家畜、宠物</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8.其他</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w:t>
      </w:r>
    </w:p>
    <w:p>
      <w:pPr>
        <w:tabs>
          <w:tab w:val="left" w:leader="underscore" w:pos="6930"/>
        </w:tabs>
        <w:adjustRightInd w:val="0"/>
        <w:snapToGrid w:val="0"/>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（六）法律法规规定禁止的其他行为。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本物业项目内发生前款所列行为时，业主、使用人有权投诉、举报，前期物业服务企业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及时劝阻、制止；对于劝阻、制止无效的，前期物业服务企业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在二十四小时内报告有关行政管理部门；有关行政管理部门在依法处理时，相关业主、使用人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予以配合。</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第十五条</w:t>
      </w:r>
      <w:r>
        <w:rPr>
          <w:rFonts w:hint="eastAsia" w:ascii="仿宋_GB2312" w:hAnsi="仿宋_GB2312" w:eastAsia="仿宋_GB2312" w:cs="仿宋_GB2312"/>
          <w:bCs/>
          <w:sz w:val="24"/>
          <w:szCs w:val="24"/>
          <w:highlight w:val="none"/>
        </w:rPr>
        <w:t xml:space="preserve"> 业主、使用人在专有部分实施装饰装修</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进行维修、安装、高空、动火、密闭空间作业等活动的（以下简称装修活动），</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事先告知前期物业服务企业，并与其签订《装饰装修管理协议》。使用人签订协议时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同时提供带有业主签字（章）同意装饰装修的书面意见。前期物业服务企业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将装修活动的禁止行为和注意事项书面告知业主、使用人。未签订《装饰装修管理协议》的，前期物业服务企业可以制止施工人员、施工工具、装修材料进入本物业项目。业主、使用人装饰装修物业时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遵守以下约定：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（一）前期物业服务企业按□房屋建筑面积/□房型，按照</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标准收取装修保证金;</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（二）施工期间</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注意噪音问题，减轻</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避免施工过程中对相邻业主、使用人的正常生活、学习和工作造成影响；每日18时至次日8时以及法定节假日（含双休日）全天，不得从事敲、凿、锯、钻等产生噪音的施工；</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（三）施工期间</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注意环境污染问题，采取有效措施，减少环境污染；</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（四）施工期间涉及高空作业的，业主、使用人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监督装修施工人员做好个人安全防护措施，并采取必要措施防止坠物伤人；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（五）施工期间涉及动火作业的，业主、使用人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查看施工人员是否证件齐全，不得擅自动用明火和进行焊接作业；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预留共用设施设备的检修孔；因装饰装修房屋影响共用设施设备正常使用</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维修的，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及时恢复原状，产生的恢复费用由装饰装修房屋的业主、使用人承担，侵害相邻业主合法权益的，还</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承担相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法律责任；</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（七）阳台□可以封窗</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安装防盗网，按照统一的标准制作安装，以保持本物业项目外观统一；阳台□不可以封窗</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安装防盗网；</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（八）如违反相关规定以及本规约、装饰装修管理协议的有关约定，前期物业服务企业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及时劝阻、制止；劝阻、制止无效的，在二十四小时内报告城管执法等相关行政管理部门；已造成影响</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破坏，未及时予以更正的，装饰装修保证金暂不予退还。</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第十六条 </w:t>
      </w:r>
      <w:r>
        <w:rPr>
          <w:rFonts w:hint="eastAsia" w:ascii="仿宋_GB2312" w:hAnsi="仿宋_GB2312" w:eastAsia="仿宋_GB2312" w:cs="仿宋_GB2312"/>
          <w:bCs/>
          <w:sz w:val="24"/>
          <w:szCs w:val="24"/>
          <w:highlight w:val="none"/>
        </w:rPr>
        <w:t>业主、使用人在物业使用过程中，</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遵守下列约定：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（一）空调安装：空调外机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安装在房屋设计预留的统一专用座板处。未预留设计位置</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不具备安装条件的，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安装在前期物业服务企业指定的位置，不得在建筑物走道、楼梯、出口等共</w:t>
      </w:r>
      <w:r>
        <w:rPr>
          <w:rFonts w:hint="eastAsia" w:ascii="仿宋_GB2312" w:hAnsi="仿宋_GB2312" w:eastAsia="仿宋_GB2312" w:cs="仿宋_GB2312"/>
          <w:bCs/>
          <w:sz w:val="24"/>
          <w:szCs w:val="24"/>
          <w:highlight w:val="none"/>
          <w:lang w:eastAsia="zh-CN"/>
        </w:rPr>
        <w:t>用部位</w:t>
      </w:r>
      <w:r>
        <w:rPr>
          <w:rFonts w:hint="eastAsia" w:ascii="仿宋_GB2312" w:hAnsi="仿宋_GB2312" w:eastAsia="仿宋_GB2312" w:cs="仿宋_GB2312"/>
          <w:bCs/>
          <w:sz w:val="24"/>
          <w:szCs w:val="24"/>
          <w:highlight w:val="none"/>
        </w:rPr>
        <w:t>安装，并按要求做好噪音及冷凝水的处理。</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定期对空调设备的安全进行检查和维修、养护。空调设备超过设计使用期限，</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安装架、紧固件出现松动、严重锈蚀时，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及时采取措施消除安全隐患。若噪音超过国家和本市的环境噪音标准，业主、使用人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停止使用，并采取维修、更新等措施。</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（二）电梯使用：委托有资质的专业单位提供维修保养检测服务。业主、使用人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遵守电梯、扶梯使用管理</w:t>
      </w:r>
      <w:r>
        <w:rPr>
          <w:rFonts w:hint="eastAsia" w:ascii="仿宋_GB2312" w:hAnsi="仿宋_GB2312" w:eastAsia="仿宋_GB2312" w:cs="仿宋_GB2312"/>
          <w:bCs/>
          <w:sz w:val="24"/>
          <w:szCs w:val="24"/>
          <w:highlight w:val="none"/>
          <w:lang w:eastAsia="zh-CN"/>
        </w:rPr>
        <w:t>相关</w:t>
      </w:r>
      <w:r>
        <w:rPr>
          <w:rFonts w:hint="eastAsia" w:ascii="仿宋_GB2312" w:hAnsi="仿宋_GB2312" w:eastAsia="仿宋_GB2312" w:cs="仿宋_GB2312"/>
          <w:bCs/>
          <w:sz w:val="24"/>
          <w:szCs w:val="24"/>
          <w:highlight w:val="none"/>
        </w:rPr>
        <w:t>规定；安全、文明使用电梯，不得在轿厢内蹦跳、打闹，</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采用非正常手段开启</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阻挡电梯层门、轿厢门。禁止电动自行车（含电池）进入电梯轿厢。因不当使用导致电梯设备损坏的，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依法承担修复</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赔偿责任。未经定期检验</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检验不合格的电梯，不得继续使用。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（三）消防安全：委托有资质的专业单位提供维修保养服务。业主、使用人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配合相关部门、前期物业服务企业开展消防安全检查，并及时清理阳台、厨房等部位的杂物，做好专有部分的消防安全工作。业主、使用人不得损坏、挪用</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擅自拆除、停用消防设施、器材。</w:t>
      </w:r>
    </w:p>
    <w:p>
      <w:pPr>
        <w:pStyle w:val="9"/>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（四）楼道堆物：业主、使用人不得在楼道、电梯门厅等共</w:t>
      </w:r>
      <w:r>
        <w:rPr>
          <w:rFonts w:hint="eastAsia" w:ascii="仿宋_GB2312" w:hAnsi="仿宋_GB2312" w:eastAsia="仿宋_GB2312" w:cs="仿宋_GB2312"/>
          <w:bCs/>
          <w:sz w:val="24"/>
          <w:szCs w:val="24"/>
          <w:highlight w:val="none"/>
          <w:lang w:eastAsia="zh-CN"/>
        </w:rPr>
        <w:t>用部位</w:t>
      </w:r>
      <w:r>
        <w:rPr>
          <w:rFonts w:hint="eastAsia" w:ascii="仿宋_GB2312" w:hAnsi="仿宋_GB2312" w:eastAsia="仿宋_GB2312" w:cs="仿宋_GB2312"/>
          <w:bCs/>
          <w:sz w:val="24"/>
          <w:szCs w:val="24"/>
          <w:highlight w:val="none"/>
        </w:rPr>
        <w:t>堆放物品，经劝阻、制止无效的，可以由前期</w:t>
      </w:r>
      <w:r>
        <w:rPr>
          <w:rFonts w:hint="eastAsia" w:ascii="仿宋_GB2312" w:hAnsi="仿宋_GB2312" w:eastAsia="仿宋_GB2312" w:cs="仿宋_GB2312"/>
          <w:sz w:val="24"/>
          <w:szCs w:val="24"/>
          <w:highlight w:val="none"/>
        </w:rPr>
        <w:t>物业服务企业</w:t>
      </w:r>
      <w:r>
        <w:rPr>
          <w:rFonts w:hint="eastAsia" w:ascii="仿宋_GB2312" w:hAnsi="仿宋_GB2312" w:eastAsia="仿宋_GB2312" w:cs="仿宋_GB2312"/>
          <w:bCs/>
          <w:sz w:val="24"/>
          <w:szCs w:val="24"/>
          <w:highlight w:val="none"/>
        </w:rPr>
        <w:t>在物业项目内公告限期清理；逾期未清理的，前期物业服务企业可以代为清理，清理费用由责任人承担</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法律法规另有规定的，从其规定。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（五）休闲娱乐：业主、使用人开展休闲娱乐活动的，不得影响他人休息。广场舞等休闲娱乐活动不得早于</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时整</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晚于</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时整；在每年高考和中考前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天</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其他时间段，</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暂停所有带有外放功能的音响等设备的休闲娱乐活动。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（六）绿化管理：业主、使用人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爱护绿化</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bCs/>
          <w:sz w:val="24"/>
          <w:szCs w:val="24"/>
          <w:highlight w:val="none"/>
        </w:rPr>
        <w:t>并委托专业单位修剪、迁移等，不得擅自处置公共绿地、花草树木，不得擅自在公共绿地种植花草树木、蔬菜、搭建花架</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堆放杂物。本物业项目至少每</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年委托有资质的专业单位常规修剪树木一次，至少每</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年回缩修剪树木一次；公共绿地、绿化带等每年至少铲除杂草、清理垃圾及杂物一次。本市绿化修剪、迁移、砍伐相关规定和技术规程另有规定的，从其规定。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（七）白蚁防治：业主、使用人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按照规定配合做好白蚁防治工作，发现白蚁危害迹象时，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及时向前期物业服务企业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相关防治机构报告，并予以配合。</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w:t>
      </w:r>
      <w:r>
        <w:rPr>
          <w:rFonts w:hint="eastAsia" w:ascii="仿宋_GB2312" w:hAnsi="仿宋_GB2312" w:eastAsia="仿宋_GB2312" w:cs="仿宋_GB2312"/>
          <w:bCs/>
          <w:sz w:val="24"/>
          <w:szCs w:val="24"/>
          <w:highlight w:val="none"/>
          <w:u w:val="none"/>
        </w:rPr>
        <w:t>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第十七条</w:t>
      </w:r>
      <w:r>
        <w:rPr>
          <w:rFonts w:hint="eastAsia" w:ascii="仿宋_GB2312" w:hAnsi="仿宋_GB2312" w:eastAsia="仿宋_GB2312" w:cs="仿宋_GB2312"/>
          <w:bCs/>
          <w:sz w:val="24"/>
          <w:szCs w:val="24"/>
          <w:highlight w:val="none"/>
        </w:rPr>
        <w:t xml:space="preserve"> 业主、使用人在本物业项目内饲养动物</w:t>
      </w:r>
      <w:r>
        <w:rPr>
          <w:rFonts w:hint="eastAsia" w:ascii="仿宋_GB2312" w:hAnsi="仿宋_GB2312" w:eastAsia="仿宋_GB2312" w:cs="仿宋_GB2312"/>
          <w:bCs/>
          <w:sz w:val="24"/>
          <w:szCs w:val="24"/>
          <w:highlight w:val="none"/>
          <w:lang w:eastAsia="zh-CN"/>
        </w:rPr>
        <w:t>的应当</w:t>
      </w:r>
      <w:r>
        <w:rPr>
          <w:rFonts w:hint="eastAsia" w:ascii="仿宋_GB2312" w:hAnsi="仿宋_GB2312" w:eastAsia="仿宋_GB2312" w:cs="仿宋_GB2312"/>
          <w:bCs/>
          <w:sz w:val="24"/>
          <w:szCs w:val="24"/>
          <w:highlight w:val="none"/>
        </w:rPr>
        <w:t>遵守以下约定：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（一）遵守养犬登记制度和年检制度，养犬人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到属地街镇指定机构申请办理养犬登记。未经登记，不得擅自饲养</w:t>
      </w:r>
      <w:r>
        <w:rPr>
          <w:rFonts w:hint="eastAsia" w:ascii="仿宋_GB2312" w:hAnsi="仿宋_GB2312" w:eastAsia="仿宋_GB2312" w:cs="仿宋_GB2312"/>
          <w:bCs/>
          <w:sz w:val="24"/>
          <w:szCs w:val="24"/>
          <w:highlight w:val="none"/>
          <w:lang w:bidi="ar"/>
        </w:rPr>
        <w:t>犬龄满三个月的</w:t>
      </w:r>
      <w:r>
        <w:rPr>
          <w:rFonts w:hint="eastAsia" w:ascii="仿宋_GB2312" w:hAnsi="仿宋_GB2312" w:eastAsia="仿宋_GB2312" w:cs="仿宋_GB2312"/>
          <w:bCs/>
          <w:sz w:val="24"/>
          <w:szCs w:val="24"/>
          <w:highlight w:val="none"/>
        </w:rPr>
        <w:t>犬只；</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（二）不得饲养烈性犬,禁养烈性犬目录按本市规定执行；</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（三）不得影响其他业主、使用人的正常生活、工作和学习；</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bidi="ar-SA"/>
        </w:rPr>
        <w:t>（四）不得利用楼道、天台、楼梯间、地下车库等共有部分饲养动物</w:t>
      </w:r>
      <w:r>
        <w:rPr>
          <w:rFonts w:hint="eastAsia" w:ascii="仿宋_GB2312" w:hAnsi="仿宋_GB2312" w:eastAsia="仿宋_GB2312" w:cs="仿宋_GB2312"/>
          <w:bCs/>
          <w:sz w:val="24"/>
          <w:szCs w:val="24"/>
          <w:highlight w:val="none"/>
          <w:lang w:val="en-US" w:eastAsia="zh-CN" w:bidi="ar-SA"/>
        </w:rPr>
        <w:t>或者</w:t>
      </w:r>
      <w:r>
        <w:rPr>
          <w:rFonts w:hint="eastAsia" w:ascii="仿宋_GB2312" w:hAnsi="仿宋_GB2312" w:eastAsia="仿宋_GB2312" w:cs="仿宋_GB2312"/>
          <w:bCs/>
          <w:sz w:val="24"/>
          <w:szCs w:val="24"/>
          <w:highlight w:val="none"/>
          <w:lang w:val="en-US" w:bidi="ar-SA"/>
        </w:rPr>
        <w:t>搭建、外挂犬舍、猫窝、鸽棚等设施；</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（五）进入共</w:t>
      </w:r>
      <w:r>
        <w:rPr>
          <w:rFonts w:hint="eastAsia" w:ascii="仿宋_GB2312" w:hAnsi="仿宋_GB2312" w:eastAsia="仿宋_GB2312" w:cs="仿宋_GB2312"/>
          <w:bCs/>
          <w:sz w:val="24"/>
          <w:szCs w:val="24"/>
          <w:highlight w:val="none"/>
          <w:lang w:eastAsia="zh-CN"/>
        </w:rPr>
        <w:t>用部位</w:t>
      </w:r>
      <w:r>
        <w:rPr>
          <w:rFonts w:hint="eastAsia" w:ascii="仿宋_GB2312" w:hAnsi="仿宋_GB2312" w:eastAsia="仿宋_GB2312" w:cs="仿宋_GB2312"/>
          <w:bCs/>
          <w:color w:val="auto"/>
          <w:sz w:val="24"/>
          <w:szCs w:val="24"/>
          <w:highlight w:val="none"/>
          <w:lang w:eastAsia="zh-CN"/>
        </w:rPr>
        <w:t>应当</w:t>
      </w:r>
      <w:r>
        <w:rPr>
          <w:rFonts w:hint="eastAsia" w:ascii="仿宋_GB2312" w:hAnsi="仿宋_GB2312" w:eastAsia="仿宋_GB2312" w:cs="仿宋_GB2312"/>
          <w:bCs/>
          <w:color w:val="auto"/>
          <w:sz w:val="24"/>
          <w:szCs w:val="24"/>
          <w:highlight w:val="none"/>
        </w:rPr>
        <w:t>采取有效措施防止</w:t>
      </w:r>
      <w:r>
        <w:rPr>
          <w:rFonts w:hint="eastAsia" w:ascii="仿宋_GB2312" w:hAnsi="仿宋_GB2312" w:eastAsia="仿宋_GB2312" w:cs="仿宋_GB2312"/>
          <w:bCs/>
          <w:sz w:val="24"/>
          <w:szCs w:val="24"/>
          <w:highlight w:val="none"/>
        </w:rPr>
        <w:t>犬只伤人，如</w:t>
      </w:r>
      <w:r>
        <w:rPr>
          <w:rFonts w:hint="eastAsia" w:ascii="仿宋_GB2312" w:hAnsi="仿宋_GB2312" w:eastAsia="仿宋_GB2312" w:cs="仿宋_GB2312"/>
          <w:bCs/>
          <w:color w:val="0F1115"/>
          <w:kern w:val="2"/>
          <w:sz w:val="24"/>
          <w:szCs w:val="24"/>
          <w:highlight w:val="none"/>
          <w:shd w:val="clear" w:color="auto" w:fill="auto"/>
        </w:rPr>
        <w:t>束2米以内合规牵引带</w:t>
      </w:r>
      <w:r>
        <w:rPr>
          <w:rFonts w:hint="eastAsia" w:ascii="仿宋_GB2312" w:hAnsi="仿宋_GB2312" w:eastAsia="仿宋_GB2312" w:cs="仿宋_GB2312"/>
          <w:bCs/>
          <w:color w:val="0F1115"/>
          <w:sz w:val="24"/>
          <w:szCs w:val="24"/>
          <w:highlight w:val="none"/>
        </w:rPr>
        <w:t>等</w:t>
      </w:r>
      <w:r>
        <w:rPr>
          <w:rFonts w:hint="eastAsia" w:ascii="仿宋_GB2312" w:hAnsi="仿宋_GB2312" w:eastAsia="仿宋_GB2312" w:cs="仿宋_GB2312"/>
          <w:bCs/>
          <w:color w:val="0F1115"/>
          <w:kern w:val="2"/>
          <w:sz w:val="24"/>
          <w:szCs w:val="24"/>
          <w:highlight w:val="none"/>
          <w:shd w:val="clear" w:color="auto" w:fill="auto"/>
        </w:rPr>
        <w:t>；</w:t>
      </w:r>
    </w:p>
    <w:p>
      <w:pPr>
        <w:widowControl/>
        <w:tabs>
          <w:tab w:val="left" w:leader="underscore" w:pos="6930"/>
        </w:tabs>
        <w:spacing w:line="440" w:lineRule="exact"/>
        <w:ind w:firstLine="48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lang w:bidi="ar"/>
        </w:rPr>
        <w:t>（六）</w:t>
      </w:r>
      <w:r>
        <w:rPr>
          <w:rFonts w:hint="eastAsia" w:ascii="仿宋_GB2312" w:hAnsi="仿宋_GB2312" w:eastAsia="仿宋_GB2312" w:cs="仿宋_GB2312"/>
          <w:bCs/>
          <w:color w:val="auto"/>
          <w:kern w:val="2"/>
          <w:sz w:val="24"/>
          <w:szCs w:val="24"/>
          <w:highlight w:val="none"/>
          <w:shd w:val="clear" w:color="auto" w:fill="auto"/>
          <w:lang w:bidi="ar"/>
        </w:rPr>
        <w:t>乘坐电梯</w:t>
      </w:r>
      <w:r>
        <w:rPr>
          <w:rFonts w:hint="eastAsia" w:ascii="仿宋_GB2312" w:hAnsi="仿宋_GB2312" w:eastAsia="仿宋_GB2312" w:cs="仿宋_GB2312"/>
          <w:bCs/>
          <w:color w:val="auto"/>
          <w:kern w:val="2"/>
          <w:sz w:val="24"/>
          <w:szCs w:val="24"/>
          <w:highlight w:val="none"/>
          <w:shd w:val="clear" w:color="auto" w:fill="auto"/>
          <w:lang w:eastAsia="zh-CN" w:bidi="ar"/>
        </w:rPr>
        <w:t>或者</w:t>
      </w:r>
      <w:r>
        <w:rPr>
          <w:rFonts w:hint="eastAsia" w:ascii="仿宋_GB2312" w:hAnsi="仿宋_GB2312" w:eastAsia="仿宋_GB2312" w:cs="仿宋_GB2312"/>
          <w:bCs/>
          <w:color w:val="auto"/>
          <w:kern w:val="2"/>
          <w:sz w:val="24"/>
          <w:szCs w:val="24"/>
          <w:highlight w:val="none"/>
          <w:shd w:val="clear" w:color="auto" w:fill="auto"/>
          <w:lang w:bidi="ar"/>
        </w:rPr>
        <w:t>上下楼梯的，避开高峰时间并主动避让他人；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（七）及时处置动物排泄物，不得影响公共环境的卫生和美观；</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（八）禁止在本物业项目内设立犬只等养殖、销售场所；</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（九）其他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第十八条 </w:t>
      </w: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按规定，将生活垃圾分类投放至本物业项目内指定投放点和投放容器，并遵守以下约定：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（一）分类投放有害垃圾时，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注意轻放。</w:t>
      </w:r>
      <w:r>
        <w:rPr>
          <w:rFonts w:hint="eastAsia" w:ascii="仿宋_GB2312" w:hAnsi="仿宋_GB2312" w:eastAsia="仿宋_GB2312" w:cs="仿宋_GB2312"/>
          <w:bCs/>
          <w:color w:val="000000"/>
          <w:kern w:val="2"/>
          <w:sz w:val="24"/>
          <w:szCs w:val="24"/>
          <w:highlight w:val="none"/>
          <w:lang w:bidi="ar"/>
        </w:rPr>
        <w:t>其中：废灯管等易破损的有害垃圾</w:t>
      </w:r>
      <w:r>
        <w:rPr>
          <w:rFonts w:hint="eastAsia" w:ascii="仿宋_GB2312" w:hAnsi="仿宋_GB2312" w:eastAsia="仿宋_GB2312" w:cs="仿宋_GB2312"/>
          <w:bCs/>
          <w:color w:val="000000"/>
          <w:kern w:val="2"/>
          <w:sz w:val="24"/>
          <w:szCs w:val="24"/>
          <w:highlight w:val="none"/>
          <w:lang w:eastAsia="zh-CN" w:bidi="ar"/>
        </w:rPr>
        <w:t>应当</w:t>
      </w:r>
      <w:r>
        <w:rPr>
          <w:rFonts w:hint="eastAsia" w:ascii="仿宋_GB2312" w:hAnsi="仿宋_GB2312" w:eastAsia="仿宋_GB2312" w:cs="仿宋_GB2312"/>
          <w:bCs/>
          <w:color w:val="000000"/>
          <w:kern w:val="2"/>
          <w:sz w:val="24"/>
          <w:szCs w:val="24"/>
          <w:highlight w:val="none"/>
          <w:lang w:bidi="ar"/>
        </w:rPr>
        <w:t>连带包装</w:t>
      </w:r>
      <w:r>
        <w:rPr>
          <w:rFonts w:hint="eastAsia" w:ascii="仿宋_GB2312" w:hAnsi="仿宋_GB2312" w:eastAsia="仿宋_GB2312" w:cs="仿宋_GB2312"/>
          <w:bCs/>
          <w:color w:val="000000"/>
          <w:kern w:val="2"/>
          <w:sz w:val="24"/>
          <w:szCs w:val="24"/>
          <w:highlight w:val="none"/>
          <w:lang w:eastAsia="zh-CN" w:bidi="ar"/>
        </w:rPr>
        <w:t>或者</w:t>
      </w:r>
      <w:r>
        <w:rPr>
          <w:rFonts w:hint="eastAsia" w:ascii="仿宋_GB2312" w:hAnsi="仿宋_GB2312" w:eastAsia="仿宋_GB2312" w:cs="仿宋_GB2312"/>
          <w:bCs/>
          <w:color w:val="000000"/>
          <w:kern w:val="2"/>
          <w:sz w:val="24"/>
          <w:szCs w:val="24"/>
          <w:highlight w:val="none"/>
          <w:lang w:bidi="ar"/>
        </w:rPr>
        <w:t>包裹后投放；废弃药品宜连带包装一并投放；杀虫剂等压力罐装容器，</w:t>
      </w:r>
      <w:r>
        <w:rPr>
          <w:rFonts w:hint="eastAsia" w:ascii="仿宋_GB2312" w:hAnsi="仿宋_GB2312" w:eastAsia="仿宋_GB2312" w:cs="仿宋_GB2312"/>
          <w:bCs/>
          <w:color w:val="000000"/>
          <w:kern w:val="2"/>
          <w:sz w:val="24"/>
          <w:szCs w:val="24"/>
          <w:highlight w:val="none"/>
          <w:lang w:eastAsia="zh-CN" w:bidi="ar"/>
        </w:rPr>
        <w:t>应当</w:t>
      </w:r>
      <w:r>
        <w:rPr>
          <w:rFonts w:hint="eastAsia" w:ascii="仿宋_GB2312" w:hAnsi="仿宋_GB2312" w:eastAsia="仿宋_GB2312" w:cs="仿宋_GB2312"/>
          <w:bCs/>
          <w:color w:val="000000"/>
          <w:kern w:val="2"/>
          <w:sz w:val="24"/>
          <w:szCs w:val="24"/>
          <w:highlight w:val="none"/>
          <w:lang w:bidi="ar"/>
        </w:rPr>
        <w:t>排空内容物后投放</w:t>
      </w:r>
      <w:r>
        <w:rPr>
          <w:rFonts w:hint="eastAsia" w:ascii="仿宋_GB2312" w:hAnsi="仿宋_GB2312" w:eastAsia="仿宋_GB2312" w:cs="仿宋_GB2312"/>
          <w:bCs/>
          <w:color w:val="000000"/>
          <w:sz w:val="24"/>
          <w:szCs w:val="24"/>
          <w:highlight w:val="none"/>
          <w:lang w:bidi="ar"/>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（二）分类投放湿垃圾时，投放前沥干水分；有包装物的，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将去除的包装物投放至干垃圾收集容器中；</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（三）可回收物</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投放至可回收物收集容器</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交售至回收服务点；大件垃圾</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预约回收</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投放至指定场所，不得混入生活垃圾；</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（四）不得在非投放时间将生活垃圾等各类固体废物丢弃在生活垃圾分类投放点；</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（五）不得将生活垃圾丢弃在室外共用场地</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长时间堆放在家门口、消防通道等位置，严禁高空抛掷垃圾；</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（六）不得损坏分类设施设备；</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（七）配合前期物业服务企业履行生活垃圾分类投放管理责任</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eastAsia="zh-CN"/>
        </w:rPr>
        <w:t>（八）</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在生活垃圾投放点位安装监控设施的，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合法合理保存使用监控录像，避免侵犯他人隐私。</w:t>
      </w:r>
    </w:p>
    <w:p>
      <w:pPr>
        <w:pStyle w:val="9"/>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第十九条</w:t>
      </w:r>
      <w:r>
        <w:rPr>
          <w:rFonts w:hint="eastAsia" w:ascii="仿宋_GB2312" w:hAnsi="仿宋_GB2312" w:eastAsia="仿宋_GB2312" w:cs="仿宋_GB2312"/>
          <w:bCs/>
          <w:sz w:val="24"/>
          <w:szCs w:val="24"/>
          <w:highlight w:val="none"/>
        </w:rPr>
        <w:t xml:space="preserve"> 业主、使用人在车位使用过程中，</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遵守下列约定：</w:t>
      </w:r>
    </w:p>
    <w:p>
      <w:pPr>
        <w:pStyle w:val="9"/>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（一）机动车位</w:t>
      </w:r>
    </w:p>
    <w:p>
      <w:pPr>
        <w:pStyle w:val="9"/>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本物业项目内的车位（库），</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优先满足业主停车需要。已按照本规约足额交纳车位租赁费的车辆，停车管理单位有义务保障其通行和使用车位的权利。业主、使用人不得擅自占用他人车位。</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车位分配和管理办法见附件</w:t>
      </w:r>
      <w:r>
        <w:rPr>
          <w:rFonts w:hint="eastAsia" w:ascii="仿宋_GB2312" w:hAnsi="仿宋_GB2312" w:eastAsia="仿宋_GB2312" w:cs="仿宋_GB2312"/>
          <w:bCs/>
          <w:sz w:val="24"/>
          <w:szCs w:val="24"/>
          <w:highlight w:val="none"/>
          <w:lang w:val="en-US" w:eastAsia="zh-CN"/>
        </w:rPr>
        <w:t>1</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szCs w:val="24"/>
          <w:highlight w:val="none"/>
        </w:rPr>
        <w:t>（二）充电桩安装</w:t>
      </w:r>
    </w:p>
    <w:p>
      <w:pPr>
        <w:pStyle w:val="10"/>
        <w:spacing w:line="440" w:lineRule="exact"/>
        <w:ind w:firstLine="480" w:firstLineChars="200"/>
        <w:jc w:val="both"/>
        <w:rPr>
          <w:rFonts w:hint="eastAsia" w:ascii="仿宋_GB2312" w:hAnsi="仿宋_GB2312" w:eastAsia="仿宋_GB2312" w:cs="仿宋_GB2312"/>
          <w:bCs/>
          <w:color w:val="auto"/>
          <w:kern w:val="2"/>
          <w:highlight w:val="none"/>
        </w:rPr>
      </w:pPr>
      <w:r>
        <w:rPr>
          <w:rFonts w:hint="eastAsia" w:ascii="仿宋_GB2312" w:hAnsi="仿宋_GB2312" w:eastAsia="仿宋_GB2312" w:cs="仿宋_GB2312"/>
          <w:bCs/>
          <w:color w:val="auto"/>
          <w:kern w:val="2"/>
          <w:highlight w:val="none"/>
        </w:rPr>
        <w:t>1.产权车位</w:t>
      </w:r>
    </w:p>
    <w:p>
      <w:pPr>
        <w:pStyle w:val="10"/>
        <w:spacing w:line="440" w:lineRule="exact"/>
        <w:ind w:firstLine="480" w:firstLineChars="200"/>
        <w:jc w:val="both"/>
        <w:rPr>
          <w:rFonts w:hint="eastAsia" w:ascii="仿宋_GB2312" w:hAnsi="仿宋_GB2312" w:eastAsia="仿宋_GB2312" w:cs="仿宋_GB2312"/>
          <w:bCs/>
          <w:color w:val="auto"/>
          <w:kern w:val="2"/>
          <w:highlight w:val="none"/>
        </w:rPr>
      </w:pPr>
      <w:r>
        <w:rPr>
          <w:rFonts w:hint="eastAsia" w:ascii="仿宋_GB2312" w:hAnsi="仿宋_GB2312" w:eastAsia="仿宋_GB2312" w:cs="仿宋_GB2312"/>
          <w:bCs/>
          <w:color w:val="auto"/>
          <w:kern w:val="2"/>
          <w:highlight w:val="none"/>
        </w:rPr>
        <w:t>委托专业充电设施建设单位在停车管理单位监督下安装。新能源汽车充电装置不得影响消防车通行、登高作业和人员疏散逃生。禁止新能源汽车飞线充电，停车管理单位要做好危害公共安全事件的发现、劝阻、报告工作，并配合相关部门及时排除危害。</w:t>
      </w:r>
    </w:p>
    <w:p>
      <w:pPr>
        <w:pStyle w:val="10"/>
        <w:spacing w:line="440" w:lineRule="exact"/>
        <w:ind w:firstLine="480"/>
        <w:jc w:val="both"/>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2.共有车位</w:t>
      </w:r>
    </w:p>
    <w:p>
      <w:pPr>
        <w:pStyle w:val="10"/>
        <w:spacing w:line="440" w:lineRule="exact"/>
        <w:ind w:firstLine="480"/>
        <w:jc w:val="both"/>
        <w:rPr>
          <w:rFonts w:hint="eastAsia" w:ascii="仿宋_GB2312" w:hAnsi="仿宋_GB2312" w:eastAsia="仿宋_GB2312" w:cs="仿宋_GB2312"/>
          <w:bCs/>
          <w:color w:val="auto"/>
          <w:kern w:val="2"/>
          <w:highlight w:val="none"/>
        </w:rPr>
      </w:pPr>
      <w:r>
        <w:rPr>
          <w:rFonts w:hint="eastAsia" w:ascii="仿宋_GB2312" w:hAnsi="仿宋_GB2312" w:eastAsia="仿宋_GB2312" w:cs="仿宋_GB2312"/>
          <w:bCs/>
          <w:highlight w:val="none"/>
        </w:rPr>
        <w:t>□允许</w:t>
      </w:r>
      <w:r>
        <w:rPr>
          <w:rFonts w:hint="eastAsia" w:ascii="仿宋_GB2312" w:hAnsi="仿宋_GB2312" w:eastAsia="仿宋_GB2312" w:cs="仿宋_GB2312"/>
          <w:bCs/>
          <w:color w:val="auto"/>
          <w:kern w:val="2"/>
          <w:highlight w:val="none"/>
        </w:rPr>
        <w:t>安装充电桩。经业主大会</w:t>
      </w:r>
      <w:r>
        <w:rPr>
          <w:rFonts w:hint="eastAsia" w:ascii="仿宋_GB2312" w:hAnsi="仿宋_GB2312" w:eastAsia="仿宋_GB2312" w:cs="仿宋_GB2312"/>
          <w:color w:val="auto"/>
          <w:kern w:val="2"/>
          <w:highlight w:val="none"/>
        </w:rPr>
        <w:t>临时</w:t>
      </w:r>
      <w:r>
        <w:rPr>
          <w:rFonts w:hint="eastAsia" w:ascii="仿宋_GB2312" w:hAnsi="仿宋_GB2312" w:eastAsia="仿宋_GB2312" w:cs="仿宋_GB2312"/>
          <w:color w:val="auto"/>
          <w:kern w:val="2"/>
          <w:highlight w:val="none"/>
          <w:lang w:eastAsia="zh-CN"/>
        </w:rPr>
        <w:t>会议</w:t>
      </w:r>
      <w:r>
        <w:rPr>
          <w:rFonts w:hint="eastAsia" w:ascii="仿宋_GB2312" w:hAnsi="仿宋_GB2312" w:eastAsia="仿宋_GB2312" w:cs="仿宋_GB2312"/>
          <w:bCs/>
          <w:color w:val="auto"/>
          <w:kern w:val="2"/>
          <w:highlight w:val="none"/>
        </w:rPr>
        <w:t>同意</w:t>
      </w:r>
      <w:r>
        <w:rPr>
          <w:rFonts w:hint="eastAsia" w:ascii="仿宋_GB2312" w:hAnsi="仿宋_GB2312" w:eastAsia="仿宋_GB2312" w:cs="仿宋_GB2312"/>
          <w:bCs/>
          <w:color w:val="auto"/>
          <w:kern w:val="2"/>
          <w:highlight w:val="none"/>
          <w:lang w:eastAsia="zh-CN"/>
        </w:rPr>
        <w:t>，</w:t>
      </w:r>
      <w:r>
        <w:rPr>
          <w:rFonts w:hint="eastAsia" w:ascii="仿宋_GB2312" w:hAnsi="仿宋_GB2312" w:eastAsia="仿宋_GB2312" w:cs="仿宋_GB2312"/>
          <w:bCs/>
          <w:color w:val="auto"/>
          <w:kern w:val="2"/>
          <w:highlight w:val="none"/>
        </w:rPr>
        <w:t>并委托专业充电设施建设单位在停车管理单位监督下安装。新能源汽车充电装置不得影响消防车通行、登高作业和人员疏散逃生。禁止新能源汽车飞线充电，停车管理单位要做好危害公共安全事件的发现、劝阻、报告工作，并配合相关部门及时排除危害。</w:t>
      </w:r>
    </w:p>
    <w:p>
      <w:pPr>
        <w:pStyle w:val="10"/>
        <w:spacing w:line="440" w:lineRule="exact"/>
        <w:ind w:firstLine="480"/>
        <w:jc w:val="both"/>
        <w:rPr>
          <w:rFonts w:hint="eastAsia" w:ascii="仿宋_GB2312" w:hAnsi="仿宋_GB2312" w:eastAsia="仿宋_GB2312" w:cs="仿宋_GB2312"/>
          <w:bCs/>
          <w:color w:val="auto"/>
          <w:kern w:val="2"/>
          <w:highlight w:val="none"/>
        </w:rPr>
      </w:pPr>
      <w:r>
        <w:rPr>
          <w:rFonts w:hint="eastAsia" w:ascii="仿宋_GB2312" w:hAnsi="仿宋_GB2312" w:eastAsia="仿宋_GB2312" w:cs="仿宋_GB2312"/>
          <w:bCs/>
          <w:highlight w:val="none"/>
        </w:rPr>
        <w:t>□不允许</w:t>
      </w:r>
      <w:r>
        <w:rPr>
          <w:rFonts w:hint="eastAsia" w:ascii="仿宋_GB2312" w:hAnsi="仿宋_GB2312" w:eastAsia="仿宋_GB2312" w:cs="仿宋_GB2312"/>
          <w:bCs/>
          <w:color w:val="auto"/>
          <w:kern w:val="2"/>
          <w:highlight w:val="none"/>
        </w:rPr>
        <w:t>安装充电桩。</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（三）非机动车位</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业主、使用人不得有下列行为：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1.在公共区域乱停放非机动车</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2.</w:t>
      </w:r>
      <w:r>
        <w:rPr>
          <w:rFonts w:hint="eastAsia" w:ascii="仿宋_GB2312" w:hAnsi="仿宋_GB2312" w:eastAsia="仿宋_GB2312" w:cs="仿宋_GB2312"/>
          <w:bCs/>
          <w:sz w:val="24"/>
          <w:szCs w:val="24"/>
          <w:highlight w:val="none"/>
        </w:rPr>
        <w:t>私拉乱接电线、飞线充电；</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3</w:t>
      </w:r>
      <w:r>
        <w:rPr>
          <w:rFonts w:hint="eastAsia" w:ascii="仿宋_GB2312" w:hAnsi="仿宋_GB2312" w:eastAsia="仿宋_GB2312" w:cs="仿宋_GB2312"/>
          <w:bCs/>
          <w:sz w:val="24"/>
          <w:szCs w:val="24"/>
          <w:highlight w:val="none"/>
        </w:rPr>
        <w:t>.使用改装、破损</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不符合国家标准的蓄电池和充电器；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lang w:val="en-US" w:eastAsia="zh-CN"/>
        </w:rPr>
        <w:t>4</w:t>
      </w:r>
      <w:r>
        <w:rPr>
          <w:rFonts w:hint="eastAsia" w:ascii="仿宋_GB2312" w:hAnsi="仿宋_GB2312" w:eastAsia="仿宋_GB2312" w:cs="仿宋_GB2312"/>
          <w:bCs/>
          <w:sz w:val="24"/>
          <w:szCs w:val="24"/>
          <w:highlight w:val="none"/>
        </w:rPr>
        <w:t>.将电动自行车</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蓄电池带入楼内</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户内，包括在电梯、楼道、楼梯间、首层门厅、家中等区域停放</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充电</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电动自行车</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在规定的集中充电设施处充电，并与建筑外墙的门、窗、洞口及安全出口保持安全距离。</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第二十条</w:t>
      </w:r>
      <w:r>
        <w:rPr>
          <w:rFonts w:hint="eastAsia" w:ascii="仿宋_GB2312" w:hAnsi="仿宋_GB2312" w:eastAsia="仿宋_GB2312" w:cs="仿宋_GB2312"/>
          <w:bCs/>
          <w:sz w:val="24"/>
          <w:szCs w:val="24"/>
          <w:highlight w:val="none"/>
        </w:rPr>
        <w:t xml:space="preserve"> 业主、使用人将房屋进行租赁的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遵守相关法律法规</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不得将原始设计为居住空间的房屋分割、分隔后出租；不得将原始设计为厨房、卫生间、阳台和地下储藏室等非居住空间通过改建、搭建后出租供人居住。</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业主、使用人有上述行为的，前期物业服务企业</w:t>
      </w:r>
      <w:r>
        <w:rPr>
          <w:rFonts w:hint="eastAsia" w:ascii="仿宋_GB2312" w:hAnsi="仿宋_GB2312" w:eastAsia="仿宋_GB2312" w:cs="仿宋_GB2312"/>
          <w:bCs/>
          <w:sz w:val="24"/>
          <w:szCs w:val="24"/>
          <w:highlight w:val="none"/>
          <w:lang w:eastAsia="zh-CN"/>
        </w:rPr>
        <w:t>可以</w:t>
      </w:r>
      <w:r>
        <w:rPr>
          <w:rFonts w:hint="eastAsia" w:ascii="仿宋_GB2312" w:hAnsi="仿宋_GB2312" w:eastAsia="仿宋_GB2312" w:cs="仿宋_GB2312"/>
          <w:bCs/>
          <w:sz w:val="24"/>
          <w:szCs w:val="24"/>
          <w:highlight w:val="none"/>
        </w:rPr>
        <w:t>书面要求业主、使用人限期整改。业主、使用人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及时整改，并采取措施确保出租房屋的安全使用。</w:t>
      </w: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第四章 物业维修、养护</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第二十一条 </w:t>
      </w: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按照下列规定维修、养护物业：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（一）专有部分在使用中存在安全隐患，已经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即将危及公共利益及他人利益的，业主、使用人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及时维修；业主、使用人不履行</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无法履行维修义务的，</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急维修单位可在属地街镇到场见证下实施</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急维修，维修中发生的费用由相关业主、使用人承担；</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（二）因维修养护专有部分确需进入其他业主专有部分的，</w:t>
      </w:r>
      <w:r>
        <w:rPr>
          <w:rFonts w:hint="eastAsia" w:ascii="仿宋_GB2312" w:hAnsi="仿宋_GB2312" w:eastAsia="仿宋_GB2312" w:cs="仿宋_GB2312"/>
          <w:bCs/>
          <w:sz w:val="24"/>
          <w:szCs w:val="24"/>
          <w:highlight w:val="none"/>
          <w:lang w:eastAsia="zh-CN"/>
        </w:rPr>
        <w:t>相关</w:t>
      </w: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应当予以配合</w:t>
      </w:r>
      <w:r>
        <w:rPr>
          <w:rFonts w:hint="eastAsia" w:ascii="仿宋_GB2312" w:hAnsi="仿宋_GB2312" w:eastAsia="仿宋_GB2312" w:cs="仿宋_GB2312"/>
          <w:bCs/>
          <w:sz w:val="24"/>
          <w:szCs w:val="24"/>
          <w:highlight w:val="none"/>
        </w:rPr>
        <w:t>；相关业主、使用人阻挠维修养护造成物业损坏及其他损失的，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及时修复，并承担相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法律责任；</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（三）因维修养护专有部分确需临时占用、挖掘道路</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场地的，业主、使用人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书面向前期物业服务企业提出申请，征得同意后实施，并在约定期限内恢复原状；造成第三方损失的，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承担相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法律责任。</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第二十二条 </w:t>
      </w:r>
      <w:r>
        <w:rPr>
          <w:rFonts w:hint="eastAsia" w:ascii="仿宋_GB2312" w:hAnsi="仿宋_GB2312" w:eastAsia="仿宋_GB2312" w:cs="仿宋_GB2312"/>
          <w:b w:val="0"/>
          <w:bCs/>
          <w:sz w:val="24"/>
          <w:szCs w:val="24"/>
          <w:highlight w:val="none"/>
        </w:rPr>
        <w:t>前期</w:t>
      </w:r>
      <w:r>
        <w:rPr>
          <w:rFonts w:hint="eastAsia" w:ascii="仿宋_GB2312" w:hAnsi="仿宋_GB2312" w:eastAsia="仿宋_GB2312" w:cs="仿宋_GB2312"/>
          <w:bCs/>
          <w:sz w:val="24"/>
          <w:szCs w:val="24"/>
          <w:highlight w:val="none"/>
        </w:rPr>
        <w:t>物业服务企业从事物业维修养护、装修监督等工作时，业主、使用人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提供便利。供水、排水、供电、供气、通信等相关专业单位因维修养护、改造</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设置管线等工作，需要进入本物业项目</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使用专有部分时，前期物业服务企业、业主、使用人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予以配合，不得擅自收取费用。</w:t>
      </w:r>
    </w:p>
    <w:p>
      <w:pPr>
        <w:pStyle w:val="3"/>
        <w:spacing w:line="440" w:lineRule="exact"/>
        <w:ind w:firstLine="482"/>
        <w:outlineLvl w:val="1"/>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b/>
          <w:sz w:val="24"/>
          <w:szCs w:val="24"/>
          <w:highlight w:val="none"/>
        </w:rPr>
        <w:t>第二十三条</w:t>
      </w:r>
      <w:r>
        <w:rPr>
          <w:rFonts w:hint="eastAsia" w:ascii="仿宋_GB2312" w:hAnsi="仿宋_GB2312" w:eastAsia="仿宋_GB2312" w:cs="仿宋_GB2312"/>
          <w:b/>
          <w:sz w:val="24"/>
          <w:szCs w:val="24"/>
          <w:highlight w:val="none"/>
          <w:lang w:val="en-US"/>
        </w:rPr>
        <w:t xml:space="preserve"> </w:t>
      </w:r>
      <w:r>
        <w:rPr>
          <w:rFonts w:hint="eastAsia" w:ascii="仿宋_GB2312" w:hAnsi="仿宋_GB2312" w:eastAsia="仿宋_GB2312" w:cs="仿宋_GB2312"/>
          <w:sz w:val="24"/>
          <w:szCs w:val="24"/>
          <w:highlight w:val="none"/>
          <w:lang w:val="en-US"/>
        </w:rPr>
        <w:t>建设单位</w:t>
      </w:r>
      <w:r>
        <w:rPr>
          <w:rFonts w:hint="eastAsia" w:ascii="仿宋_GB2312" w:hAnsi="仿宋_GB2312" w:eastAsia="仿宋_GB2312" w:cs="仿宋_GB2312"/>
          <w:sz w:val="24"/>
          <w:szCs w:val="24"/>
          <w:highlight w:val="none"/>
          <w:lang w:val="en-US" w:eastAsia="zh-CN"/>
        </w:rPr>
        <w:t>应当</w:t>
      </w:r>
      <w:r>
        <w:rPr>
          <w:rFonts w:hint="eastAsia" w:ascii="仿宋_GB2312" w:hAnsi="仿宋_GB2312" w:eastAsia="仿宋_GB2312" w:cs="仿宋_GB2312"/>
          <w:sz w:val="24"/>
          <w:szCs w:val="24"/>
          <w:highlight w:val="none"/>
          <w:lang w:val="en-US"/>
        </w:rPr>
        <w:t>按国家规定的保修期限和保修范围承担保修责任。保修期内的维修问题由建设单位在约定时限内解决，并向前期物业服务企业提供相关维修资料；维修后的保修期限，按照国家和本市的相关规定执行。建设单位拒绝修复</w:t>
      </w:r>
      <w:r>
        <w:rPr>
          <w:rFonts w:hint="eastAsia" w:ascii="仿宋_GB2312" w:hAnsi="仿宋_GB2312" w:eastAsia="仿宋_GB2312" w:cs="仿宋_GB2312"/>
          <w:sz w:val="24"/>
          <w:szCs w:val="24"/>
          <w:highlight w:val="none"/>
          <w:lang w:val="en-US" w:eastAsia="zh-CN"/>
        </w:rPr>
        <w:t>或者</w:t>
      </w:r>
      <w:r>
        <w:rPr>
          <w:rFonts w:hint="eastAsia" w:ascii="仿宋_GB2312" w:hAnsi="仿宋_GB2312" w:eastAsia="仿宋_GB2312" w:cs="仿宋_GB2312"/>
          <w:sz w:val="24"/>
          <w:szCs w:val="24"/>
          <w:highlight w:val="none"/>
          <w:lang w:val="en-US"/>
        </w:rPr>
        <w:t>拖延修复等未按规定承担保修责任的，业主、使用人可以向建设行政管理部门投诉。保修期内发生房屋外墙墙面空鼓、开裂、脱落</w:t>
      </w:r>
      <w:r>
        <w:rPr>
          <w:rFonts w:hint="eastAsia" w:ascii="仿宋_GB2312" w:hAnsi="仿宋_GB2312" w:eastAsia="仿宋_GB2312" w:cs="仿宋_GB2312"/>
          <w:sz w:val="24"/>
          <w:szCs w:val="24"/>
          <w:highlight w:val="none"/>
          <w:lang w:val="en-US" w:eastAsia="zh-CN"/>
        </w:rPr>
        <w:t>或者</w:t>
      </w:r>
      <w:r>
        <w:rPr>
          <w:rFonts w:hint="eastAsia" w:ascii="仿宋_GB2312" w:hAnsi="仿宋_GB2312" w:eastAsia="仿宋_GB2312" w:cs="仿宋_GB2312"/>
          <w:sz w:val="24"/>
          <w:szCs w:val="24"/>
          <w:highlight w:val="none"/>
          <w:lang w:val="en-US"/>
        </w:rPr>
        <w:t>建筑附属构</w:t>
      </w:r>
      <w:r>
        <w:rPr>
          <w:rFonts w:hint="eastAsia" w:ascii="仿宋_GB2312" w:hAnsi="仿宋_GB2312" w:eastAsia="仿宋_GB2312" w:cs="仿宋_GB2312"/>
          <w:color w:val="auto"/>
          <w:sz w:val="24"/>
          <w:szCs w:val="24"/>
          <w:highlight w:val="none"/>
          <w:lang w:val="en-US"/>
        </w:rPr>
        <w:t>件脱落等情况的，建设单位</w:t>
      </w:r>
      <w:r>
        <w:rPr>
          <w:rFonts w:hint="eastAsia" w:ascii="仿宋_GB2312" w:hAnsi="仿宋_GB2312" w:eastAsia="仿宋_GB2312" w:cs="仿宋_GB2312"/>
          <w:color w:val="auto"/>
          <w:sz w:val="24"/>
          <w:szCs w:val="24"/>
          <w:highlight w:val="none"/>
          <w:lang w:val="en-US" w:eastAsia="zh-CN"/>
        </w:rPr>
        <w:t>应当</w:t>
      </w:r>
      <w:r>
        <w:rPr>
          <w:rFonts w:hint="eastAsia" w:ascii="仿宋_GB2312" w:hAnsi="仿宋_GB2312" w:eastAsia="仿宋_GB2312" w:cs="仿宋_GB2312"/>
          <w:color w:val="auto"/>
          <w:sz w:val="24"/>
          <w:szCs w:val="24"/>
          <w:highlight w:val="none"/>
          <w:lang w:val="en-US"/>
        </w:rPr>
        <w:t>进行排查，制定维修方案，并按规定将排查结果和维修方案在本物业项目内公示。</w:t>
      </w:r>
    </w:p>
    <w:p>
      <w:pPr>
        <w:pStyle w:val="3"/>
        <w:spacing w:line="440" w:lineRule="exact"/>
        <w:ind w:firstLine="480"/>
        <w:outlineLvl w:val="1"/>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kern w:val="2"/>
          <w:sz w:val="24"/>
          <w:szCs w:val="24"/>
          <w:highlight w:val="none"/>
          <w:shd w:val="clear" w:color="auto" w:fill="auto"/>
          <w:lang w:val="en-US" w:bidi="ar-SA"/>
        </w:rPr>
        <w:t>已过法定保修期限，业主主张外墙空鼓、开裂、脱落属于原生结构性、施工性先天质量缺陷，</w:t>
      </w:r>
      <w:r>
        <w:rPr>
          <w:rFonts w:hint="eastAsia" w:ascii="仿宋_GB2312" w:hAnsi="仿宋_GB2312" w:eastAsia="仿宋_GB2312" w:cs="仿宋_GB2312"/>
          <w:i w:val="0"/>
          <w:iCs w:val="0"/>
          <w:caps w:val="0"/>
          <w:color w:val="auto"/>
          <w:spacing w:val="0"/>
          <w:kern w:val="2"/>
          <w:sz w:val="24"/>
          <w:szCs w:val="24"/>
          <w:highlight w:val="none"/>
          <w:shd w:val="clear" w:color="auto" w:fill="auto"/>
          <w:lang w:val="en-US" w:eastAsia="zh-CN" w:bidi="ar-SA"/>
        </w:rPr>
        <w:t>要求建设单位承担责任的，应当提供专业房屋安全检测机构出具的鉴定结论等相关材料</w:t>
      </w:r>
      <w:r>
        <w:rPr>
          <w:rFonts w:hint="eastAsia" w:ascii="仿宋_GB2312" w:hAnsi="仿宋_GB2312" w:eastAsia="仿宋_GB2312" w:cs="仿宋_GB2312"/>
          <w:color w:val="auto"/>
          <w:kern w:val="2"/>
          <w:sz w:val="24"/>
          <w:szCs w:val="24"/>
          <w:highlight w:val="none"/>
          <w:shd w:val="clear" w:color="auto" w:fill="auto"/>
          <w:lang w:val="en-US" w:bidi="ar-SA"/>
        </w:rPr>
        <w:t>。</w:t>
      </w:r>
    </w:p>
    <w:p>
      <w:pPr>
        <w:pStyle w:val="3"/>
        <w:spacing w:line="440" w:lineRule="exact"/>
        <w:ind w:firstLine="482"/>
        <w:outlineLvl w:val="1"/>
        <w:rPr>
          <w:rFonts w:hint="eastAsia" w:ascii="仿宋_GB2312" w:hAnsi="仿宋_GB2312" w:eastAsia="仿宋_GB2312" w:cs="仿宋_GB2312"/>
          <w:bCs/>
          <w:sz w:val="24"/>
          <w:szCs w:val="24"/>
          <w:highlight w:val="none"/>
          <w:lang w:val="en-US"/>
        </w:rPr>
      </w:pPr>
      <w:r>
        <w:rPr>
          <w:rFonts w:hint="eastAsia" w:ascii="仿宋_GB2312" w:hAnsi="仿宋_GB2312" w:eastAsia="仿宋_GB2312" w:cs="仿宋_GB2312"/>
          <w:b/>
          <w:sz w:val="24"/>
          <w:szCs w:val="24"/>
          <w:highlight w:val="none"/>
          <w:lang w:val="en-US"/>
        </w:rPr>
        <w:t>第二十四条</w:t>
      </w:r>
      <w:r>
        <w:rPr>
          <w:rFonts w:hint="eastAsia" w:ascii="仿宋_GB2312" w:hAnsi="仿宋_GB2312" w:eastAsia="仿宋_GB2312" w:cs="仿宋_GB2312"/>
          <w:b/>
          <w:kern w:val="0"/>
          <w:sz w:val="24"/>
          <w:szCs w:val="24"/>
          <w:highlight w:val="none"/>
          <w:lang w:val="en-US" w:bidi="ar-SA"/>
        </w:rPr>
        <w:t xml:space="preserve"> </w:t>
      </w:r>
      <w:r>
        <w:rPr>
          <w:rFonts w:hint="eastAsia" w:ascii="仿宋_GB2312" w:hAnsi="仿宋_GB2312" w:eastAsia="仿宋_GB2312" w:cs="仿宋_GB2312"/>
          <w:bCs/>
          <w:sz w:val="24"/>
          <w:szCs w:val="24"/>
          <w:highlight w:val="none"/>
          <w:lang w:val="en-US"/>
        </w:rPr>
        <w:t>业主、使用人</w:t>
      </w:r>
      <w:r>
        <w:rPr>
          <w:rFonts w:hint="eastAsia" w:ascii="仿宋_GB2312" w:hAnsi="仿宋_GB2312" w:eastAsia="仿宋_GB2312" w:cs="仿宋_GB2312"/>
          <w:bCs/>
          <w:sz w:val="24"/>
          <w:szCs w:val="24"/>
          <w:highlight w:val="none"/>
          <w:lang w:val="en-US" w:eastAsia="zh-CN"/>
        </w:rPr>
        <w:t>应当</w:t>
      </w:r>
      <w:r>
        <w:rPr>
          <w:rFonts w:hint="eastAsia" w:ascii="仿宋_GB2312" w:hAnsi="仿宋_GB2312" w:eastAsia="仿宋_GB2312" w:cs="仿宋_GB2312"/>
          <w:bCs/>
          <w:sz w:val="24"/>
          <w:szCs w:val="24"/>
          <w:highlight w:val="none"/>
          <w:lang w:val="en-US"/>
        </w:rPr>
        <w:t>加强共</w:t>
      </w:r>
      <w:r>
        <w:rPr>
          <w:rFonts w:hint="eastAsia" w:ascii="仿宋_GB2312" w:hAnsi="仿宋_GB2312" w:eastAsia="仿宋_GB2312" w:cs="仿宋_GB2312"/>
          <w:bCs/>
          <w:sz w:val="24"/>
          <w:szCs w:val="24"/>
          <w:highlight w:val="none"/>
          <w:lang w:val="en-US" w:eastAsia="zh-CN"/>
        </w:rPr>
        <w:t>用部位</w:t>
      </w:r>
      <w:r>
        <w:rPr>
          <w:rFonts w:hint="eastAsia" w:ascii="仿宋_GB2312" w:hAnsi="仿宋_GB2312" w:eastAsia="仿宋_GB2312" w:cs="仿宋_GB2312"/>
          <w:bCs/>
          <w:sz w:val="24"/>
          <w:szCs w:val="24"/>
          <w:highlight w:val="none"/>
          <w:lang w:val="en-US"/>
        </w:rPr>
        <w:t>、共</w:t>
      </w:r>
      <w:r>
        <w:rPr>
          <w:rFonts w:hint="eastAsia" w:ascii="仿宋_GB2312" w:hAnsi="仿宋_GB2312" w:eastAsia="仿宋_GB2312" w:cs="仿宋_GB2312"/>
          <w:bCs/>
          <w:sz w:val="24"/>
          <w:szCs w:val="24"/>
          <w:highlight w:val="none"/>
          <w:lang w:val="en-US" w:eastAsia="zh-CN"/>
        </w:rPr>
        <w:t>用</w:t>
      </w:r>
      <w:r>
        <w:rPr>
          <w:rFonts w:hint="eastAsia" w:ascii="仿宋_GB2312" w:hAnsi="仿宋_GB2312" w:eastAsia="仿宋_GB2312" w:cs="仿宋_GB2312"/>
          <w:bCs/>
          <w:sz w:val="24"/>
          <w:szCs w:val="24"/>
          <w:highlight w:val="none"/>
          <w:lang w:val="en-US"/>
        </w:rPr>
        <w:t>设施设备管理，根据材料使用年限翻新屋面防水，每</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lang w:val="en-US"/>
        </w:rPr>
        <w:t>年翻新外墙涂料，定期疏通共用排水管道。</w:t>
      </w:r>
    </w:p>
    <w:p>
      <w:pPr>
        <w:pStyle w:val="5"/>
        <w:spacing w:before="0" w:beforeAutospacing="0" w:after="0" w:afterAutospacing="0" w:line="440" w:lineRule="exact"/>
        <w:ind w:firstLine="482"/>
        <w:outlineLvl w:val="1"/>
        <w:rPr>
          <w:rFonts w:hint="eastAsia" w:ascii="仿宋_GB2312" w:hAnsi="仿宋_GB2312" w:eastAsia="仿宋_GB2312" w:cs="仿宋_GB2312"/>
          <w:kern w:val="2"/>
          <w:szCs w:val="24"/>
          <w:highlight w:val="none"/>
          <w:lang w:bidi="zh-CN"/>
        </w:rPr>
      </w:pPr>
      <w:r>
        <w:rPr>
          <w:rFonts w:hint="eastAsia" w:ascii="仿宋_GB2312" w:hAnsi="仿宋_GB2312" w:eastAsia="仿宋_GB2312" w:cs="仿宋_GB2312"/>
          <w:b/>
          <w:szCs w:val="24"/>
          <w:highlight w:val="none"/>
        </w:rPr>
        <w:t>第二十五条</w:t>
      </w:r>
      <w:r>
        <w:rPr>
          <w:rFonts w:hint="eastAsia" w:ascii="仿宋_GB2312" w:hAnsi="仿宋_GB2312" w:eastAsia="仿宋_GB2312" w:cs="仿宋_GB2312"/>
          <w:bCs/>
          <w:szCs w:val="24"/>
          <w:highlight w:val="none"/>
        </w:rPr>
        <w:t xml:space="preserve"> </w:t>
      </w:r>
      <w:r>
        <w:rPr>
          <w:rFonts w:hint="eastAsia" w:ascii="仿宋_GB2312" w:hAnsi="仿宋_GB2312" w:eastAsia="仿宋_GB2312" w:cs="仿宋_GB2312"/>
          <w:bCs/>
          <w:kern w:val="2"/>
          <w:szCs w:val="24"/>
          <w:highlight w:val="none"/>
        </w:rPr>
        <w:t>共有部分存在安全隐患、影响正常使用</w:t>
      </w:r>
      <w:r>
        <w:rPr>
          <w:rFonts w:hint="eastAsia" w:ascii="仿宋_GB2312" w:hAnsi="仿宋_GB2312" w:eastAsia="仿宋_GB2312" w:cs="仿宋_GB2312"/>
          <w:bCs/>
          <w:kern w:val="2"/>
          <w:szCs w:val="24"/>
          <w:highlight w:val="none"/>
          <w:lang w:eastAsia="zh-CN"/>
        </w:rPr>
        <w:t>或者</w:t>
      </w:r>
      <w:r>
        <w:rPr>
          <w:rFonts w:hint="eastAsia" w:ascii="仿宋_GB2312" w:hAnsi="仿宋_GB2312" w:eastAsia="仿宋_GB2312" w:cs="仿宋_GB2312"/>
          <w:bCs/>
          <w:kern w:val="2"/>
          <w:szCs w:val="24"/>
          <w:highlight w:val="none"/>
        </w:rPr>
        <w:t>危及房屋安全、公共安全等紧急情况，业主、使用人有权督促前期物业服务企业采取</w:t>
      </w:r>
      <w:r>
        <w:rPr>
          <w:rFonts w:hint="eastAsia" w:ascii="仿宋_GB2312" w:hAnsi="仿宋_GB2312" w:eastAsia="仿宋_GB2312" w:cs="仿宋_GB2312"/>
          <w:bCs/>
          <w:kern w:val="2"/>
          <w:szCs w:val="24"/>
          <w:highlight w:val="none"/>
          <w:lang w:eastAsia="zh-CN"/>
        </w:rPr>
        <w:t>应</w:t>
      </w:r>
      <w:r>
        <w:rPr>
          <w:rFonts w:hint="eastAsia" w:ascii="仿宋_GB2312" w:hAnsi="仿宋_GB2312" w:eastAsia="仿宋_GB2312" w:cs="仿宋_GB2312"/>
          <w:bCs/>
          <w:kern w:val="2"/>
          <w:szCs w:val="24"/>
          <w:highlight w:val="none"/>
        </w:rPr>
        <w:t>急防范措施。需要使用专项维修资金的，按照相关规定执行</w:t>
      </w:r>
      <w:r>
        <w:rPr>
          <w:rFonts w:hint="eastAsia" w:ascii="仿宋_GB2312" w:hAnsi="仿宋_GB2312" w:eastAsia="仿宋_GB2312" w:cs="仿宋_GB2312"/>
          <w:kern w:val="2"/>
          <w:szCs w:val="24"/>
          <w:highlight w:val="none"/>
          <w:lang w:bidi="zh-CN"/>
        </w:rPr>
        <w:t>，并在显著位置公示。</w:t>
      </w:r>
    </w:p>
    <w:p>
      <w:pPr>
        <w:pStyle w:val="5"/>
        <w:spacing w:before="0" w:beforeAutospacing="0" w:after="0" w:afterAutospacing="0" w:line="440" w:lineRule="exact"/>
        <w:ind w:firstLine="480"/>
        <w:outlineLvl w:val="1"/>
        <w:rPr>
          <w:rFonts w:hint="eastAsia" w:ascii="仿宋_GB2312" w:hAnsi="仿宋_GB2312" w:eastAsia="仿宋_GB2312" w:cs="仿宋_GB2312"/>
          <w:kern w:val="2"/>
          <w:szCs w:val="24"/>
          <w:highlight w:val="none"/>
          <w:lang w:bidi="zh-CN"/>
        </w:rPr>
      </w:pPr>
      <w:r>
        <w:rPr>
          <w:rFonts w:hint="eastAsia" w:ascii="仿宋_GB2312" w:hAnsi="仿宋_GB2312" w:eastAsia="仿宋_GB2312" w:cs="仿宋_GB2312"/>
          <w:kern w:val="2"/>
          <w:szCs w:val="24"/>
          <w:highlight w:val="none"/>
          <w:lang w:bidi="zh-CN"/>
        </w:rPr>
        <w:t>因专项维修资金不足支付维修费用的，相关费用由业主按约定承担；没有约定或者约定不明的，由相关业主按照各自拥有专有建筑面积的比例分摊。</w:t>
      </w: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第五章 业主共有资金</w:t>
      </w:r>
    </w:p>
    <w:p>
      <w:pPr>
        <w:keepNext w:val="0"/>
        <w:keepLines w:val="0"/>
        <w:pageBreakBefore w:val="0"/>
        <w:widowControl w:val="0"/>
        <w:tabs>
          <w:tab w:val="left" w:leader="underscore" w:pos="6930"/>
        </w:tabs>
        <w:kinsoku/>
        <w:wordWrap/>
        <w:overflowPunct/>
        <w:topLinePunct w:val="0"/>
        <w:autoSpaceDE/>
        <w:autoSpaceDN/>
        <w:bidi w:val="0"/>
        <w:spacing w:line="440" w:lineRule="exact"/>
        <w:ind w:right="0" w:rightChars="0" w:firstLine="482"/>
        <w:textAlignment w:val="auto"/>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第二十六条 </w:t>
      </w:r>
      <w:r>
        <w:rPr>
          <w:rFonts w:hint="eastAsia" w:ascii="仿宋_GB2312" w:hAnsi="仿宋_GB2312" w:eastAsia="仿宋_GB2312" w:cs="仿宋_GB2312"/>
          <w:bCs/>
          <w:sz w:val="24"/>
          <w:szCs w:val="24"/>
          <w:highlight w:val="none"/>
        </w:rPr>
        <w:t>业主共有资金包括：</w:t>
      </w:r>
    </w:p>
    <w:p>
      <w:pPr>
        <w:keepNext w:val="0"/>
        <w:keepLines w:val="0"/>
        <w:pageBreakBefore w:val="0"/>
        <w:widowControl w:val="0"/>
        <w:tabs>
          <w:tab w:val="left" w:leader="underscore" w:pos="6930"/>
        </w:tabs>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（一）公共收益</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□利用公共配套设施，如活动场地、会所、游泳池等经营的收益；</w:t>
      </w:r>
    </w:p>
    <w:p>
      <w:pPr>
        <w:keepNext w:val="0"/>
        <w:keepLines w:val="0"/>
        <w:pageBreakBefore w:val="0"/>
        <w:widowControl w:val="0"/>
        <w:tabs>
          <w:tab w:val="left" w:leader="underscore" w:pos="6930"/>
        </w:tabs>
        <w:kinsoku/>
        <w:wordWrap/>
        <w:overflowPunct/>
        <w:topLinePunct w:val="0"/>
        <w:autoSpaceDE/>
        <w:autoSpaceDN/>
        <w:bidi w:val="0"/>
        <w:adjustRightInd w:val="0"/>
        <w:snapToGrid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□利用</w:t>
      </w:r>
      <w:r>
        <w:rPr>
          <w:rFonts w:hint="eastAsia" w:ascii="仿宋_GB2312" w:hAnsi="仿宋_GB2312" w:eastAsia="仿宋_GB2312" w:cs="仿宋_GB2312"/>
          <w:bCs/>
          <w:sz w:val="24"/>
          <w:szCs w:val="24"/>
          <w:highlight w:val="none"/>
          <w:lang w:eastAsia="zh-CN"/>
        </w:rPr>
        <w:t>全体业主共有的房屋、地下室、车位、活动场地、会所、游泳池等共有部分产生的收益</w:t>
      </w:r>
      <w:r>
        <w:rPr>
          <w:rFonts w:hint="eastAsia" w:ascii="仿宋_GB2312" w:hAnsi="仿宋_GB2312" w:eastAsia="仿宋_GB2312" w:cs="仿宋_GB2312"/>
          <w:bCs/>
          <w:sz w:val="24"/>
          <w:szCs w:val="24"/>
          <w:highlight w:val="none"/>
        </w:rPr>
        <w:t>；</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□共有部分被损坏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违法使用得到的赔偿金；</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□相关单位支付的归全体业主</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部分业主的违约金、赔偿金、旧设备残值；</w:t>
      </w:r>
    </w:p>
    <w:p>
      <w:pPr>
        <w:pStyle w:val="9"/>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（二）专项维修资金；</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（三）实行酬金制计费方式的物业服务资金；</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（四）本规约所称共有资金的其他合法收入包括：</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□孳息及增值收益；</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none"/>
        </w:rPr>
        <w:t>。</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trike/>
          <w:vanish/>
          <w:sz w:val="24"/>
          <w:szCs w:val="24"/>
          <w:highlight w:val="none"/>
        </w:rPr>
        <w:cr/>
      </w:r>
      <w:r>
        <w:rPr>
          <w:rFonts w:hint="eastAsia" w:ascii="仿宋_GB2312" w:hAnsi="仿宋_GB2312" w:eastAsia="仿宋_GB2312" w:cs="仿宋_GB2312"/>
          <w:bCs/>
          <w:strike/>
          <w:vanish/>
          <w:sz w:val="24"/>
          <w:szCs w:val="24"/>
          <w:highlight w:val="none"/>
        </w:rPr>
        <w:t xml:space="preserve">定凡会空白   设施设备被损坏或违法使用得到的赔偿或收益   </w:t>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Cs/>
          <w:strike/>
          <w:vanish/>
          <w:sz w:val="24"/>
          <w:szCs w:val="24"/>
          <w:highlight w:val="none"/>
        </w:rPr>
        <w:pgNum/>
      </w:r>
      <w:r>
        <w:rPr>
          <w:rFonts w:hint="eastAsia" w:ascii="仿宋_GB2312" w:hAnsi="仿宋_GB2312" w:eastAsia="仿宋_GB2312" w:cs="仿宋_GB2312"/>
          <w:b/>
          <w:sz w:val="24"/>
          <w:szCs w:val="24"/>
          <w:highlight w:val="none"/>
        </w:rPr>
        <w:t xml:space="preserve">第二十七条 </w:t>
      </w:r>
      <w:r>
        <w:rPr>
          <w:rFonts w:hint="eastAsia" w:ascii="仿宋_GB2312" w:hAnsi="仿宋_GB2312" w:eastAsia="仿宋_GB2312" w:cs="仿宋_GB2312"/>
          <w:bCs/>
          <w:sz w:val="24"/>
          <w:szCs w:val="24"/>
          <w:highlight w:val="none"/>
        </w:rPr>
        <w:t>公共收入</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直接存入监管账户，前期物业服务企业按季度将扣除管理成本后的公共收益从监管账户划转至</w:t>
      </w:r>
      <w:r>
        <w:rPr>
          <w:rFonts w:hint="eastAsia" w:ascii="仿宋_GB2312" w:hAnsi="仿宋_GB2312" w:eastAsia="仿宋_GB2312" w:cs="仿宋_GB2312"/>
          <w:sz w:val="24"/>
          <w:szCs w:val="24"/>
          <w:highlight w:val="none"/>
        </w:rPr>
        <w:t>区房管局</w:t>
      </w:r>
      <w:r>
        <w:rPr>
          <w:rFonts w:hint="eastAsia" w:ascii="仿宋_GB2312" w:hAnsi="仿宋_GB2312" w:eastAsia="仿宋_GB2312" w:cs="仿宋_GB2312"/>
          <w:bCs/>
          <w:sz w:val="24"/>
          <w:szCs w:val="24"/>
          <w:highlight w:val="none"/>
        </w:rPr>
        <w:t>公共收益子账户。业主可通过市物业监管服务平台</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本物业项目显著位置查看监管账户、公共收益子账户相关信息。</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本物业项目公共收入监管账户委托前期物业服务企业管理，由前期物业服务企业与开设公共收入监管账户的银行签订公共收入服务协议，约定资金监管的权利和义务。</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前期</w:t>
      </w:r>
      <w:r>
        <w:rPr>
          <w:rFonts w:hint="eastAsia" w:ascii="仿宋_GB2312" w:hAnsi="仿宋_GB2312" w:eastAsia="仿宋_GB2312" w:cs="仿宋_GB2312"/>
          <w:bCs/>
          <w:color w:val="000000"/>
          <w:sz w:val="24"/>
          <w:szCs w:val="24"/>
          <w:highlight w:val="none"/>
        </w:rPr>
        <w:t>物业服务合同发生变更的</w:t>
      </w:r>
      <w:r>
        <w:rPr>
          <w:rFonts w:hint="eastAsia" w:ascii="仿宋_GB2312" w:hAnsi="仿宋_GB2312" w:eastAsia="仿宋_GB2312" w:cs="仿宋_GB2312"/>
          <w:bCs/>
          <w:sz w:val="24"/>
          <w:szCs w:val="24"/>
          <w:highlight w:val="none"/>
        </w:rPr>
        <w:t>，前期物业服务企业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在前期物业服务合同</w:t>
      </w:r>
      <w:r>
        <w:rPr>
          <w:rFonts w:hint="eastAsia" w:ascii="仿宋_GB2312" w:hAnsi="仿宋_GB2312" w:eastAsia="仿宋_GB2312" w:cs="仿宋_GB2312"/>
          <w:bCs/>
          <w:sz w:val="24"/>
          <w:szCs w:val="24"/>
          <w:highlight w:val="none"/>
          <w:lang w:eastAsia="zh-CN"/>
        </w:rPr>
        <w:t>终止</w:t>
      </w:r>
      <w:r>
        <w:rPr>
          <w:rFonts w:hint="eastAsia" w:ascii="仿宋_GB2312" w:hAnsi="仿宋_GB2312" w:eastAsia="仿宋_GB2312" w:cs="仿宋_GB2312"/>
          <w:bCs/>
          <w:sz w:val="24"/>
          <w:szCs w:val="24"/>
          <w:highlight w:val="none"/>
        </w:rPr>
        <w:t>之日起十日内，完整移交公共收入</w:t>
      </w:r>
      <w:r>
        <w:rPr>
          <w:rFonts w:hint="eastAsia" w:ascii="仿宋_GB2312" w:hAnsi="仿宋_GB2312" w:eastAsia="仿宋_GB2312" w:cs="仿宋_GB2312"/>
          <w:bCs/>
          <w:sz w:val="24"/>
          <w:szCs w:val="24"/>
          <w:highlight w:val="none"/>
          <w:lang w:eastAsia="zh-CN"/>
        </w:rPr>
        <w:t>和</w:t>
      </w:r>
      <w:r>
        <w:rPr>
          <w:rFonts w:hint="eastAsia" w:ascii="仿宋_GB2312" w:hAnsi="仿宋_GB2312" w:eastAsia="仿宋_GB2312" w:cs="仿宋_GB2312"/>
          <w:bCs/>
          <w:sz w:val="24"/>
          <w:szCs w:val="24"/>
          <w:highlight w:val="none"/>
        </w:rPr>
        <w:t>公共收益收支凭证、账目等资料，并将未入账的公共收益交存至区房管局公共收益子账户。</w:t>
      </w:r>
    </w:p>
    <w:p>
      <w:pPr>
        <w:keepNext w:val="0"/>
        <w:keepLines w:val="0"/>
        <w:pageBreakBefore w:val="0"/>
        <w:widowControl w:val="0"/>
        <w:kinsoku/>
        <w:wordWrap/>
        <w:overflowPunct/>
        <w:topLinePunct w:val="0"/>
        <w:autoSpaceDE/>
        <w:autoSpaceDN/>
        <w:bidi w:val="0"/>
        <w:spacing w:line="440" w:lineRule="exact"/>
        <w:ind w:right="0" w:rightChars="0" w:firstLine="482"/>
        <w:textAlignment w:val="auto"/>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第二十八条 </w:t>
      </w:r>
      <w:r>
        <w:rPr>
          <w:rFonts w:hint="eastAsia" w:ascii="仿宋_GB2312" w:hAnsi="仿宋_GB2312" w:eastAsia="仿宋_GB2312" w:cs="仿宋_GB2312"/>
          <w:b w:val="0"/>
          <w:bCs/>
          <w:color w:val="000000"/>
          <w:sz w:val="24"/>
          <w:szCs w:val="24"/>
          <w:highlight w:val="none"/>
        </w:rPr>
        <w:t>前期</w:t>
      </w:r>
      <w:r>
        <w:rPr>
          <w:rFonts w:hint="eastAsia" w:ascii="仿宋_GB2312" w:hAnsi="仿宋_GB2312" w:eastAsia="仿宋_GB2312" w:cs="仿宋_GB2312"/>
          <w:bCs/>
          <w:sz w:val="24"/>
          <w:szCs w:val="24"/>
          <w:highlight w:val="none"/>
        </w:rPr>
        <w:t>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在物业服务接待处醒目位置公开公共收入的项目清单。获取公共收入的相关协议</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在物业服务接待处备份，接受相关业主查阅，协议内容</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包含利用物业共有部分具体位置、获取收入来源、收入金额、管理成本等内容。</w:t>
      </w:r>
    </w:p>
    <w:p>
      <w:pPr>
        <w:pStyle w:val="9"/>
        <w:keepNext w:val="0"/>
        <w:keepLines w:val="0"/>
        <w:pageBreakBefore w:val="0"/>
        <w:widowControl w:val="0"/>
        <w:kinsoku/>
        <w:wordWrap/>
        <w:overflowPunct/>
        <w:topLinePunct w:val="0"/>
        <w:autoSpaceDE/>
        <w:autoSpaceDN/>
        <w:bidi w:val="0"/>
        <w:spacing w:line="440" w:lineRule="exact"/>
        <w:ind w:right="0" w:rightChars="0" w:firstLine="482"/>
        <w:jc w:val="left"/>
        <w:textAlignment w:val="auto"/>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第二十九条 </w:t>
      </w:r>
      <w:r>
        <w:rPr>
          <w:rFonts w:hint="eastAsia" w:ascii="仿宋_GB2312" w:hAnsi="仿宋_GB2312" w:eastAsia="仿宋_GB2312" w:cs="仿宋_GB2312"/>
          <w:bCs/>
          <w:sz w:val="24"/>
          <w:highlight w:val="none"/>
        </w:rPr>
        <w:t>公共收益主要用于补充专项维修资金</w:t>
      </w:r>
      <w:r>
        <w:rPr>
          <w:rFonts w:hint="eastAsia" w:ascii="仿宋_GB2312" w:hAnsi="仿宋_GB2312" w:eastAsia="仿宋_GB2312" w:cs="仿宋_GB2312"/>
          <w:bCs/>
          <w:sz w:val="24"/>
          <w:highlight w:val="none"/>
          <w:lang w:eastAsia="zh-CN"/>
        </w:rPr>
        <w:t>的</w:t>
      </w:r>
      <w:r>
        <w:rPr>
          <w:rFonts w:hint="eastAsia" w:ascii="仿宋_GB2312" w:hAnsi="仿宋_GB2312" w:eastAsia="仿宋_GB2312" w:cs="仿宋_GB2312"/>
          <w:bCs/>
          <w:sz w:val="24"/>
          <w:highlight w:val="none"/>
        </w:rPr>
        <w:t>，补充比例</w:t>
      </w:r>
      <w:r>
        <w:rPr>
          <w:rFonts w:hint="eastAsia" w:ascii="仿宋_GB2312" w:hAnsi="仿宋_GB2312" w:eastAsia="仿宋_GB2312" w:cs="仿宋_GB2312"/>
          <w:bCs/>
          <w:sz w:val="24"/>
          <w:highlight w:val="none"/>
          <w:lang w:eastAsia="zh-CN"/>
        </w:rPr>
        <w:t>应当</w:t>
      </w:r>
      <w:r>
        <w:rPr>
          <w:rFonts w:hint="eastAsia" w:ascii="仿宋_GB2312" w:hAnsi="仿宋_GB2312" w:eastAsia="仿宋_GB2312" w:cs="仿宋_GB2312"/>
          <w:bCs/>
          <w:sz w:val="24"/>
          <w:highlight w:val="none"/>
        </w:rPr>
        <w:t>高于</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（50%），</w:t>
      </w:r>
      <w:r>
        <w:rPr>
          <w:rFonts w:hint="eastAsia" w:ascii="仿宋_GB2312" w:hAnsi="仿宋_GB2312" w:eastAsia="仿宋_GB2312" w:cs="仿宋_GB2312"/>
          <w:bCs/>
          <w:sz w:val="24"/>
          <w:highlight w:val="none"/>
        </w:rPr>
        <w:t>剩余部分可经</w:t>
      </w:r>
      <w:r>
        <w:rPr>
          <w:rFonts w:hint="eastAsia" w:ascii="仿宋_GB2312" w:hAnsi="仿宋_GB2312" w:eastAsia="仿宋_GB2312" w:cs="仿宋_GB2312"/>
          <w:bCs/>
          <w:sz w:val="24"/>
          <w:szCs w:val="24"/>
          <w:highlight w:val="none"/>
        </w:rPr>
        <w:t>业主大会</w:t>
      </w:r>
      <w:r>
        <w:rPr>
          <w:rFonts w:hint="eastAsia" w:ascii="仿宋_GB2312" w:hAnsi="仿宋_GB2312" w:eastAsia="仿宋_GB2312" w:cs="仿宋_GB2312"/>
          <w:sz w:val="24"/>
          <w:szCs w:val="24"/>
          <w:highlight w:val="none"/>
        </w:rPr>
        <w:t>临时</w:t>
      </w:r>
      <w:r>
        <w:rPr>
          <w:rFonts w:hint="eastAsia" w:ascii="仿宋_GB2312" w:hAnsi="仿宋_GB2312" w:eastAsia="仿宋_GB2312" w:cs="仿宋_GB2312"/>
          <w:bCs/>
          <w:sz w:val="24"/>
          <w:szCs w:val="24"/>
          <w:highlight w:val="none"/>
        </w:rPr>
        <w:t>会议决定，用于：</w:t>
      </w:r>
    </w:p>
    <w:p>
      <w:pPr>
        <w:pStyle w:val="9"/>
        <w:keepNext w:val="0"/>
        <w:keepLines w:val="0"/>
        <w:pageBreakBefore w:val="0"/>
        <w:widowControl w:val="0"/>
        <w:kinsoku/>
        <w:wordWrap/>
        <w:overflowPunct/>
        <w:topLinePunct w:val="0"/>
        <w:autoSpaceDE/>
        <w:autoSpaceDN/>
        <w:bidi w:val="0"/>
        <w:spacing w:line="440" w:lineRule="exact"/>
        <w:ind w:right="0" w:rightChars="0" w:firstLine="480"/>
        <w:jc w:val="left"/>
        <w:textAlignment w:val="auto"/>
        <w:outlineLvl w:val="1"/>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szCs w:val="24"/>
          <w:highlight w:val="none"/>
        </w:rPr>
        <w:t>□代理记账服务费用</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元/年。</w:t>
      </w:r>
    </w:p>
    <w:p>
      <w:pPr>
        <w:pStyle w:val="9"/>
        <w:keepNext w:val="0"/>
        <w:keepLines w:val="0"/>
        <w:pageBreakBefore w:val="0"/>
        <w:widowControl w:val="0"/>
        <w:kinsoku/>
        <w:wordWrap/>
        <w:overflowPunct/>
        <w:topLinePunct w:val="0"/>
        <w:autoSpaceDE/>
        <w:autoSpaceDN/>
        <w:bidi w:val="0"/>
        <w:spacing w:line="440" w:lineRule="exact"/>
        <w:ind w:right="0" w:rightChars="0" w:firstLine="480" w:firstLineChars="0"/>
        <w:jc w:val="both"/>
        <w:textAlignment w:val="auto"/>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第三十条</w:t>
      </w:r>
      <w:r>
        <w:rPr>
          <w:rFonts w:hint="eastAsia" w:ascii="仿宋_GB2312" w:hAnsi="仿宋_GB2312" w:eastAsia="仿宋_GB2312" w:cs="仿宋_GB2312"/>
          <w:bCs/>
          <w:kern w:val="0"/>
          <w:sz w:val="24"/>
          <w:szCs w:val="24"/>
          <w:highlight w:val="none"/>
        </w:rPr>
        <w:t xml:space="preserve"> </w:t>
      </w:r>
      <w:r>
        <w:rPr>
          <w:rFonts w:hint="eastAsia" w:ascii="仿宋_GB2312" w:hAnsi="仿宋_GB2312" w:eastAsia="仿宋_GB2312" w:cs="仿宋_GB2312"/>
          <w:bCs/>
          <w:sz w:val="24"/>
          <w:szCs w:val="24"/>
          <w:highlight w:val="none"/>
        </w:rPr>
        <w:t>业主</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按照国家、本市的规定和本规约的约定，交纳专项维修资金，存入</w:t>
      </w:r>
      <w:r>
        <w:rPr>
          <w:rFonts w:hint="eastAsia" w:ascii="仿宋_GB2312" w:hAnsi="仿宋_GB2312" w:eastAsia="仿宋_GB2312" w:cs="仿宋_GB2312"/>
          <w:sz w:val="24"/>
          <w:szCs w:val="24"/>
          <w:highlight w:val="none"/>
        </w:rPr>
        <w:t>区房管局的</w:t>
      </w:r>
      <w:r>
        <w:rPr>
          <w:rFonts w:hint="eastAsia" w:ascii="仿宋_GB2312" w:hAnsi="仿宋_GB2312" w:eastAsia="仿宋_GB2312" w:cs="仿宋_GB2312"/>
          <w:bCs/>
          <w:sz w:val="24"/>
          <w:szCs w:val="24"/>
          <w:highlight w:val="none"/>
        </w:rPr>
        <w:t>维修资金子账户。</w:t>
      </w:r>
    </w:p>
    <w:p>
      <w:pPr>
        <w:pStyle w:val="3"/>
        <w:keepNext w:val="0"/>
        <w:keepLines w:val="0"/>
        <w:pageBreakBefore w:val="0"/>
        <w:widowControl w:val="0"/>
        <w:kinsoku/>
        <w:wordWrap/>
        <w:overflowPunct/>
        <w:topLinePunct w:val="0"/>
        <w:autoSpaceDE/>
        <w:autoSpaceDN/>
        <w:bidi w:val="0"/>
        <w:spacing w:line="440" w:lineRule="exact"/>
        <w:ind w:right="0" w:rightChars="0" w:firstLine="480"/>
        <w:jc w:val="both"/>
        <w:textAlignment w:val="auto"/>
        <w:rPr>
          <w:rFonts w:hint="eastAsia" w:ascii="仿宋_GB2312" w:hAnsi="仿宋_GB2312" w:eastAsia="仿宋_GB2312" w:cs="仿宋_GB2312"/>
          <w:sz w:val="24"/>
          <w:szCs w:val="24"/>
          <w:highlight w:val="none"/>
          <w:lang w:val="en-US" w:bidi="ar-SA"/>
        </w:rPr>
      </w:pPr>
      <w:r>
        <w:rPr>
          <w:rFonts w:hint="eastAsia" w:ascii="仿宋_GB2312" w:hAnsi="仿宋_GB2312" w:eastAsia="仿宋_GB2312" w:cs="仿宋_GB2312"/>
          <w:sz w:val="24"/>
          <w:szCs w:val="24"/>
          <w:highlight w:val="none"/>
          <w:lang w:val="en-US" w:bidi="ar-SA"/>
        </w:rPr>
        <w:t>建设单位未按相关规定提出成立业主大会书面报告前，专项维修资金不得动用</w:t>
      </w:r>
      <w:r>
        <w:rPr>
          <w:rFonts w:hint="eastAsia" w:ascii="仿宋_GB2312" w:hAnsi="仿宋_GB2312" w:eastAsia="仿宋_GB2312" w:cs="仿宋_GB2312"/>
          <w:sz w:val="24"/>
          <w:szCs w:val="24"/>
          <w:highlight w:val="none"/>
          <w:lang w:val="en-US" w:eastAsia="zh-CN" w:bidi="ar-SA"/>
        </w:rPr>
        <w:t>；</w:t>
      </w:r>
      <w:r>
        <w:rPr>
          <w:rFonts w:hint="eastAsia" w:ascii="仿宋_GB2312" w:hAnsi="仿宋_GB2312" w:eastAsia="仿宋_GB2312" w:cs="仿宋_GB2312"/>
          <w:sz w:val="24"/>
          <w:szCs w:val="24"/>
          <w:highlight w:val="none"/>
          <w:lang w:val="en-US" w:bidi="ar-SA"/>
        </w:rPr>
        <w:t>住宅共</w:t>
      </w:r>
      <w:r>
        <w:rPr>
          <w:rFonts w:hint="eastAsia" w:ascii="仿宋_GB2312" w:hAnsi="仿宋_GB2312" w:eastAsia="仿宋_GB2312" w:cs="仿宋_GB2312"/>
          <w:sz w:val="24"/>
          <w:szCs w:val="24"/>
          <w:highlight w:val="none"/>
          <w:lang w:val="en-US" w:eastAsia="zh-CN" w:bidi="ar-SA"/>
        </w:rPr>
        <w:t>用</w:t>
      </w:r>
      <w:r>
        <w:rPr>
          <w:rFonts w:hint="eastAsia" w:ascii="仿宋_GB2312" w:hAnsi="仿宋_GB2312" w:eastAsia="仿宋_GB2312" w:cs="仿宋_GB2312"/>
          <w:sz w:val="24"/>
          <w:szCs w:val="24"/>
          <w:highlight w:val="none"/>
          <w:lang w:val="en-US" w:bidi="ar-SA"/>
        </w:rPr>
        <w:t>部</w:t>
      </w:r>
      <w:r>
        <w:rPr>
          <w:rFonts w:hint="eastAsia" w:ascii="仿宋_GB2312" w:hAnsi="仿宋_GB2312" w:eastAsia="仿宋_GB2312" w:cs="仿宋_GB2312"/>
          <w:sz w:val="24"/>
          <w:szCs w:val="24"/>
          <w:highlight w:val="none"/>
          <w:lang w:val="en-US" w:eastAsia="zh-CN" w:bidi="ar-SA"/>
        </w:rPr>
        <w:t>位</w:t>
      </w:r>
      <w:r>
        <w:rPr>
          <w:rFonts w:hint="eastAsia" w:ascii="仿宋_GB2312" w:hAnsi="仿宋_GB2312" w:eastAsia="仿宋_GB2312" w:cs="仿宋_GB2312"/>
          <w:sz w:val="24"/>
          <w:szCs w:val="24"/>
          <w:highlight w:val="none"/>
          <w:lang w:val="en-US" w:bidi="ar-SA"/>
        </w:rPr>
        <w:t>、共用设施设备需要维修、更新和改造的，由建设单位承担物业维修责任。</w:t>
      </w:r>
    </w:p>
    <w:p>
      <w:pPr>
        <w:keepNext w:val="0"/>
        <w:keepLines w:val="0"/>
        <w:pageBreakBefore w:val="0"/>
        <w:widowControl w:val="0"/>
        <w:kinsoku/>
        <w:wordWrap/>
        <w:overflowPunct/>
        <w:topLinePunct w:val="0"/>
        <w:autoSpaceDE/>
        <w:autoSpaceDN/>
        <w:bidi w:val="0"/>
        <w:spacing w:line="440" w:lineRule="exact"/>
        <w:ind w:right="0" w:rightChars="0" w:firstLine="480"/>
        <w:jc w:val="both"/>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专项维修资金余额不足首期筹集金额30%的，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再次筹集专项维修资金，可采用：</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Cs/>
          <w:sz w:val="24"/>
          <w:szCs w:val="24"/>
          <w:highlight w:val="none"/>
        </w:rPr>
        <w:t>□一次全部交纳，期限为</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Cs/>
          <w:sz w:val="24"/>
          <w:szCs w:val="24"/>
          <w:highlight w:val="none"/>
        </w:rPr>
        <w:t>□分</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期交纳，期限为</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u w:val="single"/>
        </w:rPr>
      </w:pPr>
      <w:r>
        <w:rPr>
          <w:rFonts w:ascii="Wingdings 2" w:hAnsi="Wingdings 2" w:eastAsia="仿宋_GB2312" w:cs="仿宋_GB2312"/>
          <w:bCs/>
          <w:sz w:val="24"/>
          <w:szCs w:val="24"/>
          <w:highlight w:val="none"/>
        </w:rPr>
        <w:sym w:font="Wingdings 2" w:char="F0A3"/>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keepNext w:val="0"/>
        <w:keepLines w:val="0"/>
        <w:pageBreakBefore w:val="0"/>
        <w:widowControl w:val="0"/>
        <w:kinsoku/>
        <w:wordWrap/>
        <w:overflowPunct/>
        <w:topLinePunct w:val="0"/>
        <w:autoSpaceDE/>
        <w:autoSpaceDN/>
        <w:bidi w:val="0"/>
        <w:spacing w:line="440" w:lineRule="exact"/>
        <w:ind w:right="0" w:rightChars="0" w:firstLine="482"/>
        <w:textAlignment w:val="auto"/>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第三十一条 </w:t>
      </w:r>
      <w:r>
        <w:rPr>
          <w:rFonts w:hint="eastAsia" w:ascii="仿宋_GB2312" w:hAnsi="仿宋_GB2312" w:eastAsia="仿宋_GB2312" w:cs="仿宋_GB2312"/>
          <w:b w:val="0"/>
          <w:sz w:val="24"/>
          <w:szCs w:val="24"/>
          <w:highlight w:val="none"/>
        </w:rPr>
        <w:t>前期</w:t>
      </w:r>
      <w:r>
        <w:rPr>
          <w:rFonts w:hint="eastAsia" w:ascii="仿宋_GB2312" w:hAnsi="仿宋_GB2312" w:eastAsia="仿宋_GB2312" w:cs="仿宋_GB2312"/>
          <w:sz w:val="24"/>
          <w:szCs w:val="24"/>
          <w:highlight w:val="none"/>
        </w:rPr>
        <w:t>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依照相关法律法规建立健全业主共有资金财务管理制度。聘请具有相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从业资格的财务管理人员</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委托专业机构建立业主共有资金财务档案，指定专人妥善保管财务原始凭证及相关会计资料。</w:t>
      </w:r>
      <w:r>
        <w:rPr>
          <w:rFonts w:hint="eastAsia" w:ascii="仿宋_GB2312" w:hAnsi="仿宋_GB2312" w:eastAsia="仿宋_GB2312" w:cs="仿宋_GB2312"/>
          <w:bCs/>
          <w:sz w:val="24"/>
          <w:szCs w:val="24"/>
          <w:highlight w:val="none"/>
          <w:lang w:eastAsia="zh-CN"/>
        </w:rPr>
        <w:t>保管</w:t>
      </w:r>
      <w:r>
        <w:rPr>
          <w:rFonts w:hint="eastAsia" w:ascii="仿宋_GB2312" w:hAnsi="仿宋_GB2312" w:eastAsia="仿宋_GB2312" w:cs="仿宋_GB2312"/>
          <w:bCs/>
          <w:sz w:val="24"/>
          <w:szCs w:val="24"/>
          <w:highlight w:val="none"/>
        </w:rPr>
        <w:t>人员变更的，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及时移交保管的财务档案。</w:t>
      </w:r>
    </w:p>
    <w:p>
      <w:pPr>
        <w:pStyle w:val="9"/>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本物业项目不得聘请有违法记录的</w:t>
      </w:r>
      <w:r>
        <w:rPr>
          <w:rFonts w:hint="eastAsia" w:ascii="仿宋_GB2312" w:hAnsi="仿宋_GB2312" w:eastAsia="仿宋_GB2312" w:cs="仿宋_GB2312"/>
          <w:bCs/>
          <w:sz w:val="24"/>
          <w:szCs w:val="24"/>
          <w:highlight w:val="none"/>
          <w:lang w:eastAsia="zh-CN"/>
        </w:rPr>
        <w:t>专业</w:t>
      </w:r>
      <w:r>
        <w:rPr>
          <w:rFonts w:hint="eastAsia" w:ascii="仿宋_GB2312" w:hAnsi="仿宋_GB2312" w:eastAsia="仿宋_GB2312" w:cs="仿宋_GB2312"/>
          <w:bCs/>
          <w:sz w:val="24"/>
          <w:szCs w:val="24"/>
          <w:highlight w:val="none"/>
        </w:rPr>
        <w:t>机构</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财务人员；不得转移、隐匿、篡改、毁弃会计凭证、会计账簿、财务会计报告及其他与财务收支有关的资料。</w:t>
      </w:r>
    </w:p>
    <w:p>
      <w:pPr>
        <w:keepNext w:val="0"/>
        <w:keepLines w:val="0"/>
        <w:pageBreakBefore w:val="0"/>
        <w:widowControl w:val="0"/>
        <w:kinsoku/>
        <w:wordWrap/>
        <w:overflowPunct/>
        <w:topLinePunct w:val="0"/>
        <w:autoSpaceDE/>
        <w:autoSpaceDN/>
        <w:bidi w:val="0"/>
        <w:spacing w:line="440" w:lineRule="exact"/>
        <w:ind w:right="0" w:rightChars="0" w:firstLine="482"/>
        <w:textAlignment w:val="auto"/>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lang w:val="en-GB"/>
        </w:rPr>
        <w:t xml:space="preserve">第三十二条 </w:t>
      </w:r>
      <w:r>
        <w:rPr>
          <w:rFonts w:hint="eastAsia" w:ascii="仿宋_GB2312" w:hAnsi="仿宋_GB2312" w:eastAsia="仿宋_GB2312" w:cs="仿宋_GB2312"/>
          <w:bCs/>
          <w:sz w:val="24"/>
          <w:szCs w:val="24"/>
          <w:highlight w:val="none"/>
        </w:rPr>
        <w:t>本物业项目</w:t>
      </w:r>
      <w:r>
        <w:rPr>
          <w:rFonts w:hint="eastAsia" w:ascii="仿宋_GB2312" w:hAnsi="仿宋_GB2312" w:eastAsia="仿宋_GB2312" w:cs="仿宋_GB2312"/>
          <w:bCs/>
          <w:sz w:val="24"/>
          <w:szCs w:val="24"/>
          <w:highlight w:val="none"/>
          <w:lang w:val="en-GB"/>
        </w:rPr>
        <w:t>业主共有资金支</w:t>
      </w:r>
      <w:r>
        <w:rPr>
          <w:rFonts w:hint="eastAsia" w:ascii="仿宋_GB2312" w:hAnsi="仿宋_GB2312" w:eastAsia="仿宋_GB2312" w:cs="仿宋_GB2312"/>
          <w:bCs/>
          <w:sz w:val="24"/>
          <w:szCs w:val="24"/>
          <w:highlight w:val="none"/>
        </w:rPr>
        <w:t>付流程为：</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kern w:val="0"/>
          <w:sz w:val="24"/>
          <w:szCs w:val="24"/>
          <w:highlight w:val="none"/>
        </w:rPr>
        <w:t>前期物业服务企业</w:t>
      </w:r>
      <w:r>
        <w:rPr>
          <w:rFonts w:hint="eastAsia" w:ascii="仿宋_GB2312" w:hAnsi="仿宋_GB2312" w:eastAsia="仿宋_GB2312" w:cs="仿宋_GB2312"/>
          <w:bCs/>
          <w:kern w:val="0"/>
          <w:sz w:val="24"/>
          <w:szCs w:val="24"/>
          <w:highlight w:val="none"/>
          <w:lang w:eastAsia="zh-CN"/>
        </w:rPr>
        <w:t>应当</w:t>
      </w:r>
      <w:r>
        <w:rPr>
          <w:rFonts w:hint="eastAsia" w:ascii="仿宋_GB2312" w:hAnsi="仿宋_GB2312" w:eastAsia="仿宋_GB2312" w:cs="仿宋_GB2312"/>
          <w:bCs/>
          <w:kern w:val="0"/>
          <w:sz w:val="24"/>
          <w:szCs w:val="24"/>
          <w:highlight w:val="none"/>
        </w:rPr>
        <w:t>在支付公共收益、专项维修资金前将支出项目、收款方、支付原因</w:t>
      </w:r>
      <w:r>
        <w:rPr>
          <w:rFonts w:hint="eastAsia" w:ascii="仿宋_GB2312" w:hAnsi="仿宋_GB2312" w:eastAsia="仿宋_GB2312" w:cs="仿宋_GB2312"/>
          <w:bCs/>
          <w:kern w:val="0"/>
          <w:sz w:val="24"/>
          <w:szCs w:val="24"/>
          <w:highlight w:val="none"/>
          <w:lang w:eastAsia="zh-CN"/>
        </w:rPr>
        <w:t>、</w:t>
      </w:r>
      <w:r>
        <w:rPr>
          <w:rFonts w:hint="eastAsia" w:ascii="仿宋_GB2312" w:hAnsi="仿宋_GB2312" w:eastAsia="仿宋_GB2312" w:cs="仿宋_GB2312"/>
          <w:bCs/>
          <w:kern w:val="0"/>
          <w:sz w:val="24"/>
          <w:szCs w:val="24"/>
          <w:highlight w:val="none"/>
        </w:rPr>
        <w:t>业主大会临时</w:t>
      </w:r>
      <w:r>
        <w:rPr>
          <w:rFonts w:hint="eastAsia" w:ascii="仿宋_GB2312" w:hAnsi="仿宋_GB2312" w:eastAsia="仿宋_GB2312" w:cs="仿宋_GB2312"/>
          <w:bCs/>
          <w:kern w:val="0"/>
          <w:sz w:val="24"/>
          <w:szCs w:val="24"/>
          <w:highlight w:val="none"/>
          <w:lang w:eastAsia="zh-CN"/>
        </w:rPr>
        <w:t>会议</w:t>
      </w:r>
      <w:r>
        <w:rPr>
          <w:rFonts w:hint="eastAsia" w:ascii="仿宋_GB2312" w:hAnsi="仿宋_GB2312" w:eastAsia="仿宋_GB2312" w:cs="仿宋_GB2312"/>
          <w:bCs/>
          <w:kern w:val="0"/>
          <w:sz w:val="24"/>
          <w:szCs w:val="24"/>
          <w:highlight w:val="none"/>
        </w:rPr>
        <w:t>决议</w:t>
      </w:r>
      <w:r>
        <w:rPr>
          <w:rFonts w:hint="eastAsia" w:ascii="仿宋_GB2312" w:hAnsi="仿宋_GB2312" w:eastAsia="仿宋_GB2312" w:cs="仿宋_GB2312"/>
          <w:bCs/>
          <w:kern w:val="0"/>
          <w:sz w:val="24"/>
          <w:szCs w:val="24"/>
          <w:highlight w:val="none"/>
          <w:lang w:eastAsia="zh-CN"/>
        </w:rPr>
        <w:t>等信息</w:t>
      </w:r>
      <w:r>
        <w:rPr>
          <w:rFonts w:hint="eastAsia" w:ascii="仿宋_GB2312" w:hAnsi="仿宋_GB2312" w:eastAsia="仿宋_GB2312" w:cs="仿宋_GB2312"/>
          <w:bCs/>
          <w:kern w:val="0"/>
          <w:sz w:val="24"/>
          <w:szCs w:val="24"/>
          <w:highlight w:val="none"/>
        </w:rPr>
        <w:t>在市物业监管服务平台公示；</w:t>
      </w:r>
      <w:r>
        <w:rPr>
          <w:rFonts w:hint="eastAsia" w:ascii="仿宋_GB2312" w:hAnsi="仿宋_GB2312" w:eastAsia="仿宋_GB2312" w:cs="仿宋_GB2312"/>
          <w:bCs/>
          <w:sz w:val="24"/>
          <w:szCs w:val="24"/>
          <w:highlight w:val="none"/>
        </w:rPr>
        <w:t>签约银行核对相关资金支出的公示情况后，办理资金转账。</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公共收益、专项维修资金</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按规定完成工程审价后支付尾款。</w:t>
      </w:r>
    </w:p>
    <w:p>
      <w:pPr>
        <w:pStyle w:val="3"/>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highlight w:val="none"/>
          <w:lang w:val="en-US"/>
        </w:rPr>
      </w:pPr>
      <w:r>
        <w:rPr>
          <w:rFonts w:hint="eastAsia" w:ascii="仿宋_GB2312" w:hAnsi="仿宋_GB2312" w:eastAsia="仿宋_GB2312" w:cs="仿宋_GB2312"/>
          <w:sz w:val="24"/>
          <w:szCs w:val="24"/>
          <w:highlight w:val="none"/>
        </w:rPr>
        <w:t>业主有权共同委托第三方</w:t>
      </w:r>
      <w:r>
        <w:rPr>
          <w:rFonts w:hint="eastAsia" w:ascii="仿宋_GB2312" w:hAnsi="仿宋_GB2312" w:eastAsia="仿宋_GB2312" w:cs="仿宋_GB2312"/>
          <w:sz w:val="24"/>
          <w:szCs w:val="24"/>
          <w:highlight w:val="none"/>
          <w:lang w:eastAsia="zh-CN"/>
        </w:rPr>
        <w:t>专业机构</w:t>
      </w:r>
      <w:r>
        <w:rPr>
          <w:rFonts w:hint="eastAsia" w:ascii="仿宋_GB2312" w:hAnsi="仿宋_GB2312" w:eastAsia="仿宋_GB2312" w:cs="仿宋_GB2312"/>
          <w:sz w:val="24"/>
          <w:szCs w:val="24"/>
          <w:highlight w:val="none"/>
        </w:rPr>
        <w:t>对共有资金收支情况进行审计。</w:t>
      </w:r>
    </w:p>
    <w:p>
      <w:pPr>
        <w:keepNext w:val="0"/>
        <w:keepLines w:val="0"/>
        <w:pageBreakBefore w:val="0"/>
        <w:widowControl w:val="0"/>
        <w:kinsoku/>
        <w:wordWrap/>
        <w:overflowPunct/>
        <w:topLinePunct w:val="0"/>
        <w:autoSpaceDE/>
        <w:autoSpaceDN/>
        <w:bidi w:val="0"/>
        <w:spacing w:line="440" w:lineRule="exact"/>
        <w:ind w:right="0" w:rightChars="0" w:firstLine="482"/>
        <w:textAlignment w:val="auto"/>
        <w:outlineLvl w:val="1"/>
        <w:rPr>
          <w:rFonts w:hint="eastAsia" w:ascii="仿宋_GB2312" w:hAnsi="仿宋_GB2312" w:eastAsia="仿宋_GB2312" w:cs="仿宋_GB2312"/>
          <w:bCs/>
          <w:sz w:val="24"/>
          <w:szCs w:val="24"/>
          <w:highlight w:val="none"/>
          <w:lang w:val="en-GB"/>
        </w:rPr>
      </w:pPr>
      <w:r>
        <w:rPr>
          <w:rFonts w:hint="eastAsia" w:ascii="仿宋_GB2312" w:hAnsi="仿宋_GB2312" w:eastAsia="仿宋_GB2312" w:cs="仿宋_GB2312"/>
          <w:b/>
          <w:sz w:val="24"/>
          <w:szCs w:val="24"/>
          <w:highlight w:val="none"/>
        </w:rPr>
        <w:t xml:space="preserve">第三十三条 </w:t>
      </w:r>
      <w:r>
        <w:rPr>
          <w:rFonts w:hint="eastAsia" w:ascii="仿宋_GB2312" w:hAnsi="仿宋_GB2312" w:eastAsia="仿宋_GB2312" w:cs="仿宋_GB2312"/>
          <w:b w:val="0"/>
          <w:bCs/>
          <w:sz w:val="24"/>
          <w:szCs w:val="24"/>
          <w:highlight w:val="none"/>
        </w:rPr>
        <w:t>前期</w:t>
      </w:r>
      <w:r>
        <w:rPr>
          <w:rFonts w:hint="eastAsia" w:ascii="仿宋_GB2312" w:hAnsi="仿宋_GB2312" w:eastAsia="仿宋_GB2312" w:cs="仿宋_GB2312"/>
          <w:bCs/>
          <w:sz w:val="24"/>
          <w:szCs w:val="24"/>
          <w:highlight w:val="none"/>
        </w:rPr>
        <w:t>物业服务企业定期与银行核对业主共有资金账目，并在市</w:t>
      </w:r>
      <w:r>
        <w:rPr>
          <w:rFonts w:hint="eastAsia" w:ascii="仿宋_GB2312" w:hAnsi="仿宋_GB2312" w:eastAsia="仿宋_GB2312" w:cs="仿宋_GB2312"/>
          <w:bCs/>
          <w:sz w:val="24"/>
          <w:szCs w:val="24"/>
          <w:highlight w:val="none"/>
          <w:lang w:val="en-GB"/>
        </w:rPr>
        <w:t>物业监管服务平台</w:t>
      </w:r>
      <w:r>
        <w:rPr>
          <w:rFonts w:hint="eastAsia" w:ascii="仿宋_GB2312" w:hAnsi="仿宋_GB2312" w:eastAsia="仿宋_GB2312" w:cs="仿宋_GB2312"/>
          <w:bCs/>
          <w:sz w:val="24"/>
          <w:szCs w:val="24"/>
          <w:highlight w:val="none"/>
          <w:lang w:val="en-GB" w:eastAsia="zh-CN"/>
        </w:rPr>
        <w:t>或者</w:t>
      </w:r>
      <w:r>
        <w:rPr>
          <w:rFonts w:hint="eastAsia" w:ascii="仿宋_GB2312" w:hAnsi="仿宋_GB2312" w:eastAsia="仿宋_GB2312" w:cs="仿宋_GB2312"/>
          <w:bCs/>
          <w:sz w:val="24"/>
          <w:szCs w:val="24"/>
          <w:highlight w:val="none"/>
          <w:lang w:val="en-GB"/>
        </w:rPr>
        <w:t>在本物业项目内显著位置公示下列情况：</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outlineLvl w:val="1"/>
        <w:rPr>
          <w:rFonts w:hint="eastAsia" w:ascii="仿宋_GB2312" w:hAnsi="仿宋_GB2312" w:eastAsia="仿宋_GB2312" w:cs="仿宋_GB2312"/>
          <w:bCs/>
          <w:sz w:val="24"/>
          <w:szCs w:val="24"/>
          <w:highlight w:val="none"/>
          <w:lang w:val="en-GB"/>
        </w:rPr>
      </w:pPr>
      <w:r>
        <w:rPr>
          <w:rFonts w:hint="eastAsia" w:ascii="仿宋_GB2312" w:hAnsi="仿宋_GB2312" w:eastAsia="仿宋_GB2312" w:cs="仿宋_GB2312"/>
          <w:bCs/>
          <w:sz w:val="24"/>
          <w:szCs w:val="24"/>
          <w:highlight w:val="none"/>
          <w:lang w:val="en-GB"/>
        </w:rPr>
        <w:t>（一）公共收益公示表；</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outlineLvl w:val="1"/>
        <w:rPr>
          <w:rFonts w:hint="eastAsia" w:ascii="仿宋_GB2312" w:hAnsi="仿宋_GB2312" w:eastAsia="仿宋_GB2312" w:cs="仿宋_GB2312"/>
          <w:bCs/>
          <w:sz w:val="24"/>
          <w:szCs w:val="24"/>
          <w:highlight w:val="none"/>
          <w:lang w:val="en-GB"/>
        </w:rPr>
      </w:pPr>
      <w:r>
        <w:rPr>
          <w:rFonts w:hint="eastAsia" w:ascii="仿宋_GB2312" w:hAnsi="仿宋_GB2312" w:eastAsia="仿宋_GB2312" w:cs="仿宋_GB2312"/>
          <w:bCs/>
          <w:sz w:val="24"/>
          <w:szCs w:val="24"/>
          <w:highlight w:val="none"/>
          <w:lang w:val="en-GB"/>
        </w:rPr>
        <w:t>（二）</w:t>
      </w:r>
      <w:r>
        <w:rPr>
          <w:rFonts w:hint="eastAsia" w:ascii="仿宋_GB2312" w:hAnsi="仿宋_GB2312" w:eastAsia="仿宋_GB2312" w:cs="仿宋_GB2312"/>
          <w:bCs/>
          <w:sz w:val="24"/>
          <w:szCs w:val="24"/>
          <w:highlight w:val="none"/>
          <w:lang w:val="en-GB" w:eastAsia="zh-CN"/>
        </w:rPr>
        <w:t>实行酬金制计费方式的</w:t>
      </w:r>
      <w:r>
        <w:rPr>
          <w:rFonts w:hint="eastAsia" w:ascii="仿宋_GB2312" w:hAnsi="仿宋_GB2312" w:eastAsia="仿宋_GB2312" w:cs="仿宋_GB2312"/>
          <w:bCs/>
          <w:sz w:val="24"/>
          <w:szCs w:val="24"/>
          <w:highlight w:val="none"/>
          <w:lang w:val="en-GB"/>
        </w:rPr>
        <w:t>年度物业服务资金预决算、季度物业服务资金收支情况；</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outlineLvl w:val="1"/>
        <w:rPr>
          <w:rFonts w:hint="eastAsia" w:ascii="仿宋_GB2312" w:hAnsi="仿宋_GB2312" w:eastAsia="仿宋_GB2312" w:cs="仿宋_GB2312"/>
          <w:bCs/>
          <w:sz w:val="24"/>
          <w:szCs w:val="24"/>
          <w:highlight w:val="none"/>
          <w:lang w:val="en-GB"/>
        </w:rPr>
      </w:pPr>
      <w:r>
        <w:rPr>
          <w:rFonts w:hint="eastAsia" w:ascii="仿宋_GB2312" w:hAnsi="仿宋_GB2312" w:eastAsia="仿宋_GB2312" w:cs="仿宋_GB2312"/>
          <w:bCs/>
          <w:sz w:val="24"/>
          <w:szCs w:val="24"/>
          <w:highlight w:val="none"/>
          <w:lang w:val="en-GB"/>
        </w:rPr>
        <w:t>（三）发生列支的项目、费用和分摊情况；</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outlineLvl w:val="1"/>
        <w:rPr>
          <w:rFonts w:hint="eastAsia" w:ascii="仿宋_GB2312" w:hAnsi="仿宋_GB2312" w:eastAsia="仿宋_GB2312" w:cs="仿宋_GB2312"/>
          <w:bCs/>
          <w:sz w:val="24"/>
          <w:szCs w:val="24"/>
          <w:highlight w:val="none"/>
          <w:lang w:val="en-GB"/>
        </w:rPr>
      </w:pPr>
      <w:r>
        <w:rPr>
          <w:rFonts w:hint="eastAsia" w:ascii="仿宋_GB2312" w:hAnsi="仿宋_GB2312" w:eastAsia="仿宋_GB2312" w:cs="仿宋_GB2312"/>
          <w:bCs/>
          <w:sz w:val="24"/>
          <w:szCs w:val="24"/>
          <w:highlight w:val="none"/>
          <w:lang w:val="en-GB"/>
        </w:rPr>
        <w:t>（四）其他有关业主共有资金使用和管理的情况。</w:t>
      </w:r>
    </w:p>
    <w:p>
      <w:pPr>
        <w:keepNext w:val="0"/>
        <w:keepLines w:val="0"/>
        <w:pageBreakBefore w:val="0"/>
        <w:widowControl w:val="0"/>
        <w:kinsoku/>
        <w:wordWrap/>
        <w:overflowPunct/>
        <w:topLinePunct w:val="0"/>
        <w:autoSpaceDE/>
        <w:autoSpaceDN/>
        <w:bidi w:val="0"/>
        <w:spacing w:line="440" w:lineRule="exact"/>
        <w:ind w:right="0" w:rightChars="0" w:firstLine="482"/>
        <w:textAlignment w:val="auto"/>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第三十四条</w:t>
      </w:r>
      <w:r>
        <w:rPr>
          <w:rFonts w:hint="eastAsia" w:ascii="仿宋_GB2312" w:hAnsi="仿宋_GB2312" w:eastAsia="仿宋_GB2312" w:cs="仿宋_GB2312"/>
          <w:bCs/>
          <w:sz w:val="24"/>
          <w:szCs w:val="24"/>
          <w:highlight w:val="none"/>
        </w:rPr>
        <w:t xml:space="preserve"> 业主拖欠物业服务资金、专项维修资金和其他</w:t>
      </w:r>
      <w:r>
        <w:rPr>
          <w:rFonts w:hint="eastAsia" w:ascii="仿宋_GB2312" w:hAnsi="仿宋_GB2312" w:eastAsia="仿宋_GB2312" w:cs="仿宋_GB2312"/>
          <w:sz w:val="24"/>
          <w:szCs w:val="24"/>
          <w:highlight w:val="none"/>
          <w:lang w:eastAsia="zh-CN"/>
        </w:rPr>
        <w:t>应当</w:t>
      </w:r>
      <w:r>
        <w:rPr>
          <w:rFonts w:hint="eastAsia" w:ascii="仿宋_GB2312" w:hAnsi="仿宋_GB2312" w:eastAsia="仿宋_GB2312" w:cs="仿宋_GB2312"/>
          <w:sz w:val="24"/>
          <w:szCs w:val="24"/>
          <w:highlight w:val="none"/>
        </w:rPr>
        <w:t>依法</w:t>
      </w:r>
      <w:r>
        <w:rPr>
          <w:rFonts w:hint="eastAsia" w:ascii="仿宋_GB2312" w:hAnsi="仿宋_GB2312" w:eastAsia="仿宋_GB2312" w:cs="仿宋_GB2312"/>
          <w:bCs/>
          <w:sz w:val="24"/>
          <w:szCs w:val="24"/>
          <w:highlight w:val="none"/>
        </w:rPr>
        <w:t>分摊的费用的，</w:t>
      </w:r>
      <w:r>
        <w:rPr>
          <w:rFonts w:hint="eastAsia" w:ascii="仿宋_GB2312" w:hAnsi="仿宋_GB2312" w:eastAsia="仿宋_GB2312" w:cs="仿宋_GB2312"/>
          <w:sz w:val="24"/>
          <w:szCs w:val="24"/>
          <w:highlight w:val="none"/>
        </w:rPr>
        <w:t>由前期</w:t>
      </w:r>
      <w:r>
        <w:rPr>
          <w:rFonts w:hint="eastAsia" w:ascii="仿宋_GB2312" w:hAnsi="仿宋_GB2312" w:eastAsia="仿宋_GB2312" w:cs="仿宋_GB2312"/>
          <w:bCs/>
          <w:sz w:val="24"/>
          <w:szCs w:val="24"/>
          <w:highlight w:val="none"/>
        </w:rPr>
        <w:t>物业服务企业向欠费业主发出欠费交纳通知单。欠费交纳通知单一般包含欠费金额、滞纳金计算方法、缴费账户、</w:t>
      </w:r>
      <w:r>
        <w:rPr>
          <w:rFonts w:hint="eastAsia" w:ascii="仿宋_GB2312" w:hAnsi="仿宋_GB2312" w:eastAsia="仿宋_GB2312" w:cs="仿宋_GB2312"/>
          <w:bCs/>
          <w:sz w:val="24"/>
          <w:szCs w:val="24"/>
          <w:highlight w:val="none"/>
          <w:lang w:eastAsia="zh-CN"/>
        </w:rPr>
        <w:t>交纳</w:t>
      </w:r>
      <w:r>
        <w:rPr>
          <w:rFonts w:hint="eastAsia" w:ascii="仿宋_GB2312" w:hAnsi="仿宋_GB2312" w:eastAsia="仿宋_GB2312" w:cs="仿宋_GB2312"/>
          <w:bCs/>
          <w:sz w:val="24"/>
          <w:szCs w:val="24"/>
          <w:highlight w:val="none"/>
        </w:rPr>
        <w:t>期限、</w:t>
      </w:r>
      <w:r>
        <w:rPr>
          <w:rFonts w:hint="eastAsia" w:ascii="仿宋_GB2312" w:hAnsi="仿宋_GB2312" w:eastAsia="仿宋_GB2312" w:cs="仿宋_GB2312"/>
          <w:bCs/>
          <w:sz w:val="24"/>
          <w:szCs w:val="24"/>
          <w:highlight w:val="none"/>
          <w:lang w:eastAsia="zh-CN"/>
        </w:rPr>
        <w:t>交纳</w:t>
      </w:r>
      <w:r>
        <w:rPr>
          <w:rFonts w:hint="eastAsia" w:ascii="仿宋_GB2312" w:hAnsi="仿宋_GB2312" w:eastAsia="仿宋_GB2312" w:cs="仿宋_GB2312"/>
          <w:bCs/>
          <w:sz w:val="24"/>
          <w:szCs w:val="24"/>
          <w:highlight w:val="none"/>
        </w:rPr>
        <w:t>方法、相关后果等内容。</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sz w:val="24"/>
          <w:szCs w:val="24"/>
          <w:highlight w:val="none"/>
        </w:rPr>
        <w:t>前期</w:t>
      </w:r>
      <w:r>
        <w:rPr>
          <w:rFonts w:hint="eastAsia" w:ascii="仿宋_GB2312" w:hAnsi="仿宋_GB2312" w:eastAsia="仿宋_GB2312" w:cs="仿宋_GB2312"/>
          <w:bCs/>
          <w:sz w:val="24"/>
          <w:szCs w:val="24"/>
          <w:highlight w:val="none"/>
        </w:rPr>
        <w:t>物业服务企业不得采取停止供电、供水、供热、供燃气等损害业主基本生活权益的方式催交物业费。造成损失的，</w:t>
      </w:r>
      <w:r>
        <w:rPr>
          <w:rFonts w:hint="eastAsia" w:ascii="仿宋_GB2312" w:hAnsi="仿宋_GB2312" w:eastAsia="仿宋_GB2312" w:cs="仿宋_GB2312"/>
          <w:sz w:val="24"/>
          <w:szCs w:val="24"/>
          <w:highlight w:val="none"/>
        </w:rPr>
        <w:t>前期</w:t>
      </w:r>
      <w:r>
        <w:rPr>
          <w:rFonts w:hint="eastAsia" w:ascii="仿宋_GB2312" w:hAnsi="仿宋_GB2312" w:eastAsia="仿宋_GB2312" w:cs="仿宋_GB2312"/>
          <w:bCs/>
          <w:sz w:val="24"/>
          <w:szCs w:val="24"/>
          <w:highlight w:val="none"/>
        </w:rPr>
        <w:t>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承担法律责任。</w:t>
      </w:r>
    </w:p>
    <w:p>
      <w:pPr>
        <w:keepNext w:val="0"/>
        <w:keepLines w:val="0"/>
        <w:pageBreakBefore w:val="0"/>
        <w:widowControl w:val="0"/>
        <w:kinsoku/>
        <w:wordWrap/>
        <w:overflowPunct/>
        <w:topLinePunct w:val="0"/>
        <w:autoSpaceDE/>
        <w:autoSpaceDN/>
        <w:bidi w:val="0"/>
        <w:spacing w:line="440" w:lineRule="exact"/>
        <w:ind w:right="0" w:rightChars="0" w:firstLine="48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对经催告和公示后仍拒绝支付物业费的业主，前期物业服务企业可依法予以追缴。</w:t>
      </w: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第六章 前期物业服务企业变更</w:t>
      </w:r>
    </w:p>
    <w:p>
      <w:pPr>
        <w:spacing w:line="440" w:lineRule="exact"/>
        <w:ind w:firstLine="482"/>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第三十五条 </w:t>
      </w:r>
      <w:r>
        <w:rPr>
          <w:rFonts w:hint="eastAsia" w:ascii="仿宋_GB2312" w:hAnsi="仿宋_GB2312" w:eastAsia="仿宋_GB2312" w:cs="仿宋_GB2312"/>
          <w:b w:val="0"/>
          <w:bCs/>
          <w:sz w:val="24"/>
          <w:szCs w:val="24"/>
          <w:highlight w:val="none"/>
        </w:rPr>
        <w:t>前期</w:t>
      </w:r>
      <w:r>
        <w:rPr>
          <w:rFonts w:hint="eastAsia" w:ascii="仿宋_GB2312" w:hAnsi="仿宋_GB2312" w:eastAsia="仿宋_GB2312" w:cs="仿宋_GB2312"/>
          <w:bCs/>
          <w:sz w:val="24"/>
          <w:szCs w:val="24"/>
          <w:highlight w:val="none"/>
        </w:rPr>
        <w:t>物业服务企业提出解除合同</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因解散、破产等原因无法继续履行前期物业服务合同的，建设单位</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重新公开招标选聘前期物业服务企业，物业服务内容和服务标准不得低于原物业服务合同，物业服务收费标准不得高于原物业服务合同。</w:t>
      </w:r>
    </w:p>
    <w:p>
      <w:pPr>
        <w:pStyle w:val="3"/>
        <w:spacing w:line="440" w:lineRule="exact"/>
        <w:ind w:firstLine="482"/>
        <w:outlineLvl w:val="1"/>
        <w:rPr>
          <w:rFonts w:hint="eastAsia" w:ascii="仿宋_GB2312" w:hAnsi="仿宋_GB2312" w:eastAsia="仿宋_GB2312" w:cs="仿宋_GB2312"/>
          <w:sz w:val="24"/>
          <w:szCs w:val="24"/>
          <w:highlight w:val="none"/>
          <w:lang w:val="en-US" w:bidi="ar-SA"/>
        </w:rPr>
      </w:pPr>
      <w:r>
        <w:rPr>
          <w:rFonts w:hint="eastAsia" w:ascii="仿宋_GB2312" w:hAnsi="仿宋_GB2312" w:eastAsia="仿宋_GB2312" w:cs="仿宋_GB2312"/>
          <w:b/>
          <w:bCs/>
          <w:sz w:val="24"/>
          <w:szCs w:val="24"/>
          <w:highlight w:val="none"/>
          <w:lang w:val="en-US" w:bidi="ar-SA"/>
        </w:rPr>
        <w:t>第</w:t>
      </w:r>
      <w:r>
        <w:rPr>
          <w:rFonts w:hint="eastAsia" w:ascii="仿宋_GB2312" w:hAnsi="仿宋_GB2312" w:eastAsia="仿宋_GB2312" w:cs="仿宋_GB2312"/>
          <w:b/>
          <w:sz w:val="24"/>
          <w:szCs w:val="24"/>
          <w:highlight w:val="none"/>
        </w:rPr>
        <w:t>三十六</w:t>
      </w:r>
      <w:r>
        <w:rPr>
          <w:rFonts w:hint="eastAsia" w:ascii="仿宋_GB2312" w:hAnsi="仿宋_GB2312" w:eastAsia="仿宋_GB2312" w:cs="仿宋_GB2312"/>
          <w:b/>
          <w:bCs/>
          <w:sz w:val="24"/>
          <w:szCs w:val="24"/>
          <w:highlight w:val="none"/>
          <w:lang w:val="en-US" w:bidi="ar-SA"/>
        </w:rPr>
        <w:t>条</w:t>
      </w:r>
      <w:r>
        <w:rPr>
          <w:rFonts w:hint="eastAsia" w:ascii="仿宋_GB2312" w:hAnsi="仿宋_GB2312" w:eastAsia="仿宋_GB2312" w:cs="仿宋_GB2312"/>
          <w:sz w:val="24"/>
          <w:szCs w:val="24"/>
          <w:highlight w:val="none"/>
          <w:lang w:val="en-US" w:bidi="ar-SA"/>
        </w:rPr>
        <w:t xml:space="preserve"> 经业主共同委托的审计</w:t>
      </w:r>
      <w:r>
        <w:rPr>
          <w:rFonts w:hint="eastAsia" w:ascii="仿宋_GB2312" w:hAnsi="仿宋_GB2312" w:eastAsia="仿宋_GB2312" w:cs="仿宋_GB2312"/>
          <w:sz w:val="24"/>
          <w:szCs w:val="24"/>
          <w:highlight w:val="none"/>
          <w:lang w:val="en-US" w:eastAsia="zh-CN" w:bidi="ar-SA"/>
        </w:rPr>
        <w:t>或者</w:t>
      </w:r>
      <w:r>
        <w:rPr>
          <w:rFonts w:hint="eastAsia" w:ascii="仿宋_GB2312" w:hAnsi="仿宋_GB2312" w:eastAsia="仿宋_GB2312" w:cs="仿宋_GB2312"/>
          <w:sz w:val="24"/>
          <w:szCs w:val="24"/>
          <w:highlight w:val="none"/>
          <w:lang w:val="en-US" w:bidi="ar-SA"/>
        </w:rPr>
        <w:t>行政管理部门查实，</w:t>
      </w:r>
      <w:r>
        <w:rPr>
          <w:rFonts w:hint="eastAsia" w:ascii="仿宋_GB2312" w:hAnsi="仿宋_GB2312" w:eastAsia="仿宋_GB2312" w:cs="仿宋_GB2312"/>
          <w:bCs/>
          <w:sz w:val="24"/>
          <w:szCs w:val="24"/>
          <w:highlight w:val="none"/>
          <w:lang w:val="en-US"/>
        </w:rPr>
        <w:t>前期</w:t>
      </w:r>
      <w:r>
        <w:rPr>
          <w:rFonts w:hint="eastAsia" w:ascii="仿宋_GB2312" w:hAnsi="仿宋_GB2312" w:eastAsia="仿宋_GB2312" w:cs="仿宋_GB2312"/>
          <w:sz w:val="24"/>
          <w:szCs w:val="24"/>
          <w:highlight w:val="none"/>
          <w:lang w:val="en-US" w:bidi="ar-SA"/>
        </w:rPr>
        <w:t>物业服务企业存在挪用、侵占业主共有资金等行为，构成严重违约的，建设单位</w:t>
      </w:r>
      <w:r>
        <w:rPr>
          <w:rFonts w:hint="eastAsia" w:ascii="仿宋_GB2312" w:hAnsi="仿宋_GB2312" w:eastAsia="仿宋_GB2312" w:cs="仿宋_GB2312"/>
          <w:sz w:val="24"/>
          <w:szCs w:val="24"/>
          <w:highlight w:val="none"/>
          <w:lang w:val="en-US" w:eastAsia="zh-CN" w:bidi="ar-SA"/>
        </w:rPr>
        <w:t>或者</w:t>
      </w:r>
      <w:r>
        <w:rPr>
          <w:rFonts w:hint="eastAsia" w:ascii="仿宋_GB2312" w:hAnsi="仿宋_GB2312" w:eastAsia="仿宋_GB2312" w:cs="仿宋_GB2312"/>
          <w:sz w:val="24"/>
          <w:szCs w:val="24"/>
          <w:highlight w:val="none"/>
          <w:lang w:val="en-US" w:bidi="ar-SA"/>
        </w:rPr>
        <w:t>专有部分面积占比</w:t>
      </w:r>
      <w:r>
        <w:rPr>
          <w:rFonts w:hint="eastAsia" w:ascii="仿宋_GB2312" w:hAnsi="仿宋_GB2312" w:eastAsia="仿宋_GB2312" w:cs="仿宋_GB2312"/>
          <w:bCs/>
          <w:sz w:val="24"/>
          <w:szCs w:val="24"/>
          <w:highlight w:val="none"/>
          <w:lang w:val="en-US" w:bidi="ar-SA"/>
        </w:rPr>
        <w:t>20%</w:t>
      </w:r>
      <w:r>
        <w:rPr>
          <w:rFonts w:hint="eastAsia" w:ascii="仿宋_GB2312" w:hAnsi="仿宋_GB2312" w:eastAsia="仿宋_GB2312" w:cs="仿宋_GB2312"/>
          <w:sz w:val="24"/>
          <w:szCs w:val="24"/>
          <w:highlight w:val="none"/>
          <w:lang w:val="en-US" w:bidi="ar-SA"/>
        </w:rPr>
        <w:t>且人数占比</w:t>
      </w:r>
      <w:r>
        <w:rPr>
          <w:rFonts w:hint="eastAsia" w:ascii="仿宋_GB2312" w:hAnsi="仿宋_GB2312" w:eastAsia="仿宋_GB2312" w:cs="仿宋_GB2312"/>
          <w:bCs/>
          <w:sz w:val="24"/>
          <w:szCs w:val="24"/>
          <w:highlight w:val="none"/>
          <w:lang w:val="en-US" w:bidi="ar-SA"/>
        </w:rPr>
        <w:t>20%</w:t>
      </w:r>
      <w:r>
        <w:rPr>
          <w:rFonts w:hint="eastAsia" w:ascii="仿宋_GB2312" w:hAnsi="仿宋_GB2312" w:eastAsia="仿宋_GB2312" w:cs="仿宋_GB2312"/>
          <w:sz w:val="24"/>
          <w:szCs w:val="24"/>
          <w:highlight w:val="none"/>
          <w:lang w:val="en-US" w:bidi="ar-SA"/>
        </w:rPr>
        <w:t>以上的业主有权启动更换</w:t>
      </w:r>
      <w:r>
        <w:rPr>
          <w:rFonts w:hint="eastAsia" w:ascii="仿宋_GB2312" w:hAnsi="仿宋_GB2312" w:eastAsia="仿宋_GB2312" w:cs="仿宋_GB2312"/>
          <w:bCs/>
          <w:sz w:val="24"/>
          <w:szCs w:val="24"/>
          <w:highlight w:val="none"/>
          <w:lang w:val="en-US"/>
        </w:rPr>
        <w:t>前期</w:t>
      </w:r>
      <w:r>
        <w:rPr>
          <w:rFonts w:hint="eastAsia" w:ascii="仿宋_GB2312" w:hAnsi="仿宋_GB2312" w:eastAsia="仿宋_GB2312" w:cs="仿宋_GB2312"/>
          <w:sz w:val="24"/>
          <w:szCs w:val="24"/>
          <w:highlight w:val="none"/>
          <w:lang w:val="en-US" w:bidi="ar-SA"/>
        </w:rPr>
        <w:t>物业服务企业的程序。</w:t>
      </w:r>
    </w:p>
    <w:p>
      <w:pPr>
        <w:spacing w:line="440" w:lineRule="exact"/>
        <w:ind w:firstLine="482"/>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第三十七条</w:t>
      </w:r>
      <w:r>
        <w:rPr>
          <w:rFonts w:hint="eastAsia" w:ascii="仿宋_GB2312" w:hAnsi="仿宋_GB2312" w:eastAsia="仿宋_GB2312" w:cs="仿宋_GB2312"/>
          <w:bCs/>
          <w:sz w:val="24"/>
          <w:szCs w:val="24"/>
          <w:highlight w:val="none"/>
        </w:rPr>
        <w:t xml:space="preserve"> 经专有部分面积占比20%且人数占比20%以上业主提议变更前期物业服务企业的，居（村）委会可以组织业主讨论决策，经业主共同决定，可以委托居（村）委会履行变更前期物业服务企业的相关工作。</w:t>
      </w: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第七章 附则</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第三十八条 </w:t>
      </w:r>
      <w:r>
        <w:rPr>
          <w:rFonts w:hint="eastAsia" w:ascii="仿宋_GB2312" w:hAnsi="仿宋_GB2312" w:eastAsia="仿宋_GB2312" w:cs="仿宋_GB2312"/>
          <w:bCs/>
          <w:sz w:val="24"/>
          <w:szCs w:val="24"/>
          <w:highlight w:val="none"/>
        </w:rPr>
        <w:t>本物业项目内全体业主同意在物业管理活动中授予前期物业服务企业以下权利：</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（一）根据法律法规和本规约、</w:t>
      </w:r>
      <w:r>
        <w:rPr>
          <w:rFonts w:hint="eastAsia" w:ascii="仿宋_GB2312" w:hAnsi="仿宋_GB2312" w:eastAsia="仿宋_GB2312" w:cs="仿宋_GB2312"/>
          <w:sz w:val="24"/>
          <w:szCs w:val="24"/>
          <w:highlight w:val="none"/>
        </w:rPr>
        <w:t>前期</w:t>
      </w:r>
      <w:r>
        <w:rPr>
          <w:rFonts w:hint="eastAsia" w:ascii="仿宋_GB2312" w:hAnsi="仿宋_GB2312" w:eastAsia="仿宋_GB2312" w:cs="仿宋_GB2312"/>
          <w:bCs/>
          <w:sz w:val="24"/>
          <w:szCs w:val="24"/>
          <w:highlight w:val="none"/>
        </w:rPr>
        <w:t>物业服务合同的约定，制定必要的</w:t>
      </w:r>
      <w:r>
        <w:rPr>
          <w:rFonts w:hint="eastAsia" w:ascii="仿宋_GB2312" w:hAnsi="仿宋_GB2312" w:eastAsia="仿宋_GB2312" w:cs="仿宋_GB2312"/>
          <w:bCs/>
          <w:sz w:val="24"/>
          <w:szCs w:val="24"/>
          <w:highlight w:val="none"/>
          <w:lang w:eastAsia="zh-CN"/>
        </w:rPr>
        <w:t>规章</w:t>
      </w:r>
      <w:r>
        <w:rPr>
          <w:rFonts w:hint="eastAsia" w:ascii="仿宋_GB2312" w:hAnsi="仿宋_GB2312" w:eastAsia="仿宋_GB2312" w:cs="仿宋_GB2312"/>
          <w:bCs/>
          <w:sz w:val="24"/>
          <w:szCs w:val="24"/>
          <w:highlight w:val="none"/>
        </w:rPr>
        <w:t>制度，并督促业主、使用人遵守；</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（二）以规劝等方式制止业主、使用人违反本规约、</w:t>
      </w:r>
      <w:r>
        <w:rPr>
          <w:rFonts w:hint="eastAsia" w:ascii="仿宋_GB2312" w:hAnsi="仿宋_GB2312" w:eastAsia="仿宋_GB2312" w:cs="仿宋_GB2312"/>
          <w:bCs/>
          <w:sz w:val="24"/>
          <w:szCs w:val="24"/>
          <w:highlight w:val="none"/>
          <w:lang w:eastAsia="zh-CN"/>
        </w:rPr>
        <w:t>规章</w:t>
      </w:r>
      <w:r>
        <w:rPr>
          <w:rFonts w:hint="eastAsia" w:ascii="仿宋_GB2312" w:hAnsi="仿宋_GB2312" w:eastAsia="仿宋_GB2312" w:cs="仿宋_GB2312"/>
          <w:bCs/>
          <w:sz w:val="24"/>
          <w:szCs w:val="24"/>
          <w:highlight w:val="none"/>
        </w:rPr>
        <w:t>制度的行为。</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第三十九条 </w:t>
      </w:r>
      <w:r>
        <w:rPr>
          <w:rFonts w:hint="eastAsia" w:ascii="仿宋_GB2312" w:hAnsi="仿宋_GB2312" w:eastAsia="仿宋_GB2312" w:cs="仿宋_GB2312"/>
          <w:bCs/>
          <w:sz w:val="24"/>
          <w:szCs w:val="24"/>
          <w:highlight w:val="none"/>
        </w:rPr>
        <w:t>业主</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向前期物业服务企业提供联系地址、通讯方式作为资料的有效送达方式。发生变更的，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及时向前期物业服务企业提供具体变更信息。如业主不提供</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未及时提供变更信息，物业管理活动中的相关资料投入该户信报箱、房屋内</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按原预留联系地址、通讯方式送达的，视为有效送达。</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第四十条 </w:t>
      </w:r>
      <w:r>
        <w:rPr>
          <w:rFonts w:hint="eastAsia" w:ascii="仿宋_GB2312" w:hAnsi="仿宋_GB2312" w:eastAsia="仿宋_GB2312" w:cs="仿宋_GB2312"/>
          <w:sz w:val="24"/>
          <w:szCs w:val="24"/>
          <w:highlight w:val="none"/>
        </w:rPr>
        <w:t>本物业项目的业主与建设单位签订房屋销售合同时，签署本规约的《承诺书》（见附件</w:t>
      </w:r>
      <w:r>
        <w:rPr>
          <w:rFonts w:hint="eastAsia" w:ascii="仿宋_GB2312" w:hAnsi="仿宋_GB2312" w:eastAsia="仿宋_GB2312" w:cs="仿宋_GB2312"/>
          <w:bCs/>
          <w:sz w:val="24"/>
          <w:szCs w:val="24"/>
          <w:highlight w:val="none"/>
          <w:lang w:val="en-US" w:eastAsia="zh-CN"/>
        </w:rPr>
        <w:t>2</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bCs/>
          <w:sz w:val="24"/>
          <w:szCs w:val="24"/>
          <w:highlight w:val="none"/>
        </w:rPr>
        <w:t>本规约生效后，在本物业项目内显著位置公示。</w:t>
      </w:r>
    </w:p>
    <w:p>
      <w:pPr>
        <w:tabs>
          <w:tab w:val="left" w:leader="underscore" w:pos="6930"/>
        </w:tabs>
        <w:spacing w:line="440" w:lineRule="exact"/>
        <w:ind w:firstLine="0" w:firstLineChars="0"/>
        <w:jc w:val="left"/>
        <w:outlineLvl w:val="1"/>
        <w:rPr>
          <w:rFonts w:hint="eastAsia" w:ascii="仿宋_GB2312" w:hAnsi="仿宋_GB2312" w:eastAsia="仿宋_GB2312" w:cs="仿宋_GB2312"/>
          <w:b w:val="0"/>
          <w:bCs/>
          <w:kern w:val="2"/>
          <w:sz w:val="24"/>
          <w:szCs w:val="24"/>
          <w:highlight w:val="none"/>
          <w:lang w:eastAsia="zh-CN"/>
        </w:rPr>
      </w:pPr>
    </w:p>
    <w:p>
      <w:pPr>
        <w:tabs>
          <w:tab w:val="left" w:leader="underscore" w:pos="6930"/>
        </w:tabs>
        <w:spacing w:line="440" w:lineRule="exact"/>
        <w:ind w:firstLine="480" w:firstLineChars="200"/>
        <w:jc w:val="left"/>
        <w:outlineLvl w:val="1"/>
        <w:rPr>
          <w:rFonts w:hint="eastAsia" w:ascii="仿宋_GB2312" w:hAnsi="仿宋_GB2312" w:eastAsia="仿宋_GB2312" w:cs="仿宋_GB2312"/>
          <w:b w:val="0"/>
          <w:bCs/>
          <w:kern w:val="2"/>
          <w:sz w:val="24"/>
          <w:szCs w:val="24"/>
          <w:highlight w:val="none"/>
        </w:rPr>
      </w:pPr>
      <w:r>
        <w:rPr>
          <w:rFonts w:hint="eastAsia" w:ascii="仿宋_GB2312" w:hAnsi="仿宋_GB2312" w:eastAsia="仿宋_GB2312" w:cs="仿宋_GB2312"/>
          <w:b w:val="0"/>
          <w:bCs/>
          <w:kern w:val="2"/>
          <w:sz w:val="24"/>
          <w:szCs w:val="24"/>
          <w:highlight w:val="none"/>
          <w:lang w:eastAsia="zh-CN"/>
        </w:rPr>
        <w:t>附件</w:t>
      </w:r>
      <w:r>
        <w:rPr>
          <w:rFonts w:hint="eastAsia" w:ascii="仿宋_GB2312" w:hAnsi="仿宋_GB2312" w:eastAsia="仿宋_GB2312" w:cs="仿宋_GB2312"/>
          <w:b w:val="0"/>
          <w:bCs/>
          <w:kern w:val="2"/>
          <w:sz w:val="24"/>
          <w:szCs w:val="24"/>
          <w:highlight w:val="none"/>
          <w:lang w:val="en-US" w:eastAsia="zh-CN"/>
        </w:rPr>
        <w:t>1：</w:t>
      </w:r>
      <w:r>
        <w:rPr>
          <w:rFonts w:hint="eastAsia" w:ascii="仿宋_GB2312" w:hAnsi="仿宋_GB2312" w:eastAsia="仿宋_GB2312" w:cs="仿宋_GB2312"/>
          <w:b w:val="0"/>
          <w:bCs/>
          <w:kern w:val="2"/>
          <w:sz w:val="24"/>
          <w:szCs w:val="24"/>
          <w:highlight w:val="none"/>
        </w:rPr>
        <w:t>机动车位分配和管理办法</w:t>
      </w:r>
    </w:p>
    <w:p>
      <w:pPr>
        <w:tabs>
          <w:tab w:val="left" w:leader="underscore" w:pos="6930"/>
        </w:tabs>
        <w:spacing w:line="440" w:lineRule="exact"/>
        <w:ind w:firstLine="480" w:firstLineChars="200"/>
        <w:jc w:val="left"/>
        <w:outlineLvl w:val="1"/>
        <w:rPr>
          <w:rFonts w:hint="eastAsia" w:ascii="仿宋_GB2312" w:hAnsi="仿宋_GB2312" w:eastAsia="仿宋_GB2312" w:cs="仿宋_GB2312"/>
          <w:b w:val="0"/>
          <w:bCs/>
          <w:kern w:val="2"/>
          <w:sz w:val="24"/>
          <w:szCs w:val="24"/>
          <w:highlight w:val="none"/>
        </w:rPr>
      </w:pPr>
      <w:r>
        <w:rPr>
          <w:rFonts w:hint="eastAsia" w:ascii="仿宋_GB2312" w:hAnsi="仿宋_GB2312" w:eastAsia="仿宋_GB2312" w:cs="仿宋_GB2312"/>
          <w:b w:val="0"/>
          <w:bCs/>
          <w:kern w:val="2"/>
          <w:sz w:val="24"/>
          <w:szCs w:val="24"/>
          <w:highlight w:val="none"/>
          <w:lang w:eastAsia="zh-CN"/>
        </w:rPr>
        <w:t>附件</w:t>
      </w:r>
      <w:r>
        <w:rPr>
          <w:rFonts w:hint="eastAsia" w:ascii="仿宋_GB2312" w:hAnsi="仿宋_GB2312" w:eastAsia="仿宋_GB2312" w:cs="仿宋_GB2312"/>
          <w:b w:val="0"/>
          <w:bCs/>
          <w:kern w:val="2"/>
          <w:sz w:val="24"/>
          <w:szCs w:val="24"/>
          <w:highlight w:val="none"/>
          <w:lang w:val="en-US" w:eastAsia="zh-CN"/>
        </w:rPr>
        <w:t>2：</w:t>
      </w:r>
      <w:r>
        <w:rPr>
          <w:rFonts w:hint="eastAsia" w:ascii="仿宋_GB2312" w:hAnsi="仿宋_GB2312" w:eastAsia="仿宋_GB2312" w:cs="仿宋_GB2312"/>
          <w:sz w:val="24"/>
          <w:szCs w:val="24"/>
          <w:highlight w:val="none"/>
        </w:rPr>
        <w:t>承诺书</w:t>
      </w:r>
    </w:p>
    <w:p>
      <w:pPr>
        <w:tabs>
          <w:tab w:val="left" w:leader="underscore" w:pos="6930"/>
        </w:tabs>
        <w:spacing w:line="440" w:lineRule="exact"/>
        <w:ind w:firstLine="0" w:firstLineChars="0"/>
        <w:outlineLvl w:val="0"/>
        <w:rPr>
          <w:rFonts w:hint="eastAsia" w:cs="仿宋_GB2312"/>
          <w:bCs/>
          <w:kern w:val="0"/>
          <w:sz w:val="24"/>
          <w:szCs w:val="24"/>
          <w:highlight w:val="none"/>
        </w:rPr>
      </w:pPr>
      <w:r>
        <w:rPr>
          <w:rFonts w:hint="eastAsia" w:cs="仿宋_GB2312"/>
          <w:bCs/>
          <w:sz w:val="24"/>
          <w:szCs w:val="24"/>
          <w:highlight w:val="none"/>
        </w:rPr>
        <w:br w:type="page"/>
      </w:r>
      <w:r>
        <w:rPr>
          <w:rFonts w:hint="eastAsia" w:ascii="仿宋_GB2312" w:hAnsi="仿宋_GB2312" w:eastAsia="仿宋_GB2312" w:cs="仿宋_GB2312"/>
          <w:bCs/>
          <w:kern w:val="0"/>
          <w:sz w:val="24"/>
          <w:szCs w:val="24"/>
          <w:highlight w:val="none"/>
        </w:rPr>
        <w:t>附件1：</w:t>
      </w:r>
    </w:p>
    <w:p>
      <w:pPr>
        <w:tabs>
          <w:tab w:val="left" w:leader="underscore" w:pos="6930"/>
        </w:tabs>
        <w:spacing w:line="440" w:lineRule="exact"/>
        <w:ind w:firstLine="0" w:firstLineChars="0"/>
        <w:jc w:val="center"/>
        <w:outlineLvl w:val="1"/>
        <w:rPr>
          <w:rFonts w:hint="eastAsia" w:ascii="华文中宋" w:hAnsi="华文中宋" w:eastAsia="华文中宋" w:cs="华文中宋"/>
          <w:b/>
          <w:kern w:val="0"/>
          <w:sz w:val="30"/>
          <w:szCs w:val="30"/>
          <w:highlight w:val="none"/>
        </w:rPr>
      </w:pPr>
      <w:r>
        <w:rPr>
          <w:rFonts w:hint="eastAsia" w:ascii="华文中宋" w:hAnsi="华文中宋" w:eastAsia="华文中宋" w:cs="华文中宋"/>
          <w:b/>
          <w:kern w:val="0"/>
          <w:sz w:val="30"/>
          <w:szCs w:val="30"/>
          <w:highlight w:val="none"/>
        </w:rPr>
        <w:t>机动车位分配和管理办法</w:t>
      </w:r>
    </w:p>
    <w:p>
      <w:pPr>
        <w:tabs>
          <w:tab w:val="left" w:leader="underscore" w:pos="6930"/>
        </w:tabs>
        <w:adjustRightInd w:val="0"/>
        <w:snapToGrid w:val="0"/>
        <w:spacing w:line="440" w:lineRule="exact"/>
        <w:ind w:firstLine="0" w:firstLineChars="0"/>
        <w:jc w:val="center"/>
        <w:rPr>
          <w:rFonts w:hint="eastAsia" w:cs="仿宋_GB2312"/>
          <w:bCs/>
          <w:kern w:val="0"/>
          <w:sz w:val="24"/>
          <w:szCs w:val="24"/>
          <w:highlight w:val="none"/>
        </w:rPr>
      </w:pPr>
    </w:p>
    <w:p>
      <w:pPr>
        <w:tabs>
          <w:tab w:val="left" w:leader="underscore" w:pos="6930"/>
        </w:tabs>
        <w:adjustRightInd w:val="0"/>
        <w:snapToGrid w:val="0"/>
        <w:spacing w:line="440" w:lineRule="exact"/>
        <w:ind w:firstLine="0" w:firstLineChars="0"/>
        <w:jc w:val="center"/>
        <w:outlineLvl w:val="2"/>
        <w:rPr>
          <w:rFonts w:hint="eastAsia" w:ascii="国标黑体" w:hAnsi="国标黑体" w:cs="国标黑体"/>
          <w:kern w:val="0"/>
          <w:sz w:val="24"/>
          <w:szCs w:val="24"/>
          <w:highlight w:val="none"/>
        </w:rPr>
      </w:pPr>
      <w:r>
        <w:rPr>
          <w:rFonts w:hint="eastAsia" w:ascii="国标黑体" w:hAnsi="国标黑体" w:eastAsia="国标黑体" w:cs="国标黑体"/>
          <w:kern w:val="0"/>
          <w:sz w:val="24"/>
          <w:szCs w:val="24"/>
          <w:highlight w:val="none"/>
        </w:rPr>
        <w:t>第一章 总则</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第一条 </w:t>
      </w:r>
      <w:r>
        <w:rPr>
          <w:rFonts w:hint="eastAsia" w:ascii="仿宋_GB2312" w:hAnsi="仿宋_GB2312" w:eastAsia="仿宋_GB2312" w:cs="仿宋_GB2312"/>
          <w:bCs/>
          <w:sz w:val="24"/>
          <w:szCs w:val="24"/>
          <w:highlight w:val="none"/>
        </w:rPr>
        <w:t>为规范本物业项目车位的分配和管理，营造文明、有序的居住环境，根据相关法律法规，结合本物业项目实际，制定本办法。</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第二条 </w:t>
      </w:r>
      <w:r>
        <w:rPr>
          <w:rFonts w:hint="eastAsia" w:ascii="仿宋_GB2312" w:hAnsi="仿宋_GB2312" w:eastAsia="仿宋_GB2312" w:cs="仿宋_GB2312"/>
          <w:bCs/>
          <w:sz w:val="24"/>
          <w:szCs w:val="24"/>
          <w:highlight w:val="none"/>
        </w:rPr>
        <w:t>本物业项目车位的分配和管理遵循公平、公正、公开的原则，并接受全体业主监督。车位</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首先满足本物业项目内业主的停车需要。</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bCs w:val="0"/>
          <w:sz w:val="24"/>
          <w:szCs w:val="24"/>
          <w:highlight w:val="none"/>
        </w:rPr>
        <w:t>第三条</w:t>
      </w:r>
      <w:r>
        <w:rPr>
          <w:rFonts w:hint="eastAsia" w:ascii="仿宋_GB2312" w:hAnsi="仿宋_GB2312" w:eastAsia="仿宋_GB2312" w:cs="仿宋_GB2312"/>
          <w:bCs/>
          <w:sz w:val="24"/>
          <w:szCs w:val="24"/>
          <w:highlight w:val="none"/>
        </w:rPr>
        <w:t xml:space="preserve"> 本物业项目车位共</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个，房屋</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套。以上车位数包含：</w:t>
      </w:r>
    </w:p>
    <w:p>
      <w:pPr>
        <w:spacing w:line="440" w:lineRule="exact"/>
        <w:ind w:firstLine="480"/>
        <w:rPr>
          <w:rFonts w:hint="eastAsia" w:ascii="仿宋_GB2312" w:hAnsi="仿宋_GB2312" w:eastAsia="仿宋_GB2312" w:cs="仿宋_GB2312"/>
          <w:bCs/>
          <w:sz w:val="24"/>
          <w:szCs w:val="24"/>
          <w:highlight w:val="none"/>
          <w:lang w:val="zh-CN" w:bidi="zh-CN"/>
        </w:rPr>
      </w:pPr>
      <w:r>
        <w:rPr>
          <w:rFonts w:hint="eastAsia" w:ascii="仿宋_GB2312" w:hAnsi="仿宋_GB2312" w:eastAsia="仿宋_GB2312" w:cs="仿宋_GB2312"/>
          <w:bCs/>
          <w:sz w:val="24"/>
          <w:szCs w:val="24"/>
          <w:highlight w:val="none"/>
        </w:rPr>
        <w:t>（一）</w:t>
      </w:r>
      <w:r>
        <w:rPr>
          <w:rFonts w:hint="eastAsia" w:ascii="仿宋_GB2312" w:hAnsi="仿宋_GB2312" w:eastAsia="仿宋_GB2312" w:cs="仿宋_GB2312"/>
          <w:bCs/>
          <w:sz w:val="24"/>
          <w:szCs w:val="24"/>
          <w:highlight w:val="none"/>
          <w:lang w:val="zh-CN" w:bidi="zh-CN"/>
        </w:rPr>
        <w:t>规划车位</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lang w:val="zh-CN" w:bidi="zh-CN"/>
        </w:rPr>
        <w:t>个（地上</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lang w:val="zh-CN" w:bidi="zh-CN"/>
        </w:rPr>
        <w:t>个，地下</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lang w:val="zh-CN" w:bidi="zh-CN"/>
        </w:rPr>
        <w:t>个）；</w:t>
      </w:r>
    </w:p>
    <w:p>
      <w:pPr>
        <w:spacing w:line="440" w:lineRule="exact"/>
        <w:ind w:firstLine="480"/>
        <w:rPr>
          <w:rFonts w:hint="eastAsia" w:ascii="仿宋_GB2312" w:hAnsi="仿宋_GB2312" w:eastAsia="仿宋_GB2312" w:cs="仿宋_GB2312"/>
          <w:bCs/>
          <w:sz w:val="24"/>
          <w:szCs w:val="24"/>
          <w:highlight w:val="none"/>
          <w:lang w:val="zh-CN" w:bidi="zh-CN"/>
        </w:rPr>
      </w:pPr>
      <w:r>
        <w:rPr>
          <w:rFonts w:hint="eastAsia" w:ascii="仿宋_GB2312" w:hAnsi="仿宋_GB2312" w:eastAsia="仿宋_GB2312" w:cs="仿宋_GB2312"/>
          <w:bCs/>
          <w:sz w:val="24"/>
          <w:szCs w:val="24"/>
          <w:highlight w:val="none"/>
        </w:rPr>
        <w:t>（二）</w:t>
      </w:r>
      <w:r>
        <w:rPr>
          <w:rFonts w:hint="eastAsia" w:ascii="仿宋_GB2312" w:hAnsi="仿宋_GB2312" w:eastAsia="仿宋_GB2312" w:cs="仿宋_GB2312"/>
          <w:bCs/>
          <w:sz w:val="24"/>
          <w:szCs w:val="24"/>
          <w:highlight w:val="none"/>
          <w:lang w:val="zh-CN" w:bidi="zh-CN"/>
        </w:rPr>
        <w:t>经业主大会</w:t>
      </w:r>
      <w:r>
        <w:rPr>
          <w:rFonts w:hint="eastAsia" w:ascii="仿宋_GB2312" w:hAnsi="仿宋_GB2312" w:eastAsia="仿宋_GB2312" w:cs="仿宋_GB2312"/>
          <w:sz w:val="24"/>
          <w:szCs w:val="24"/>
          <w:highlight w:val="none"/>
          <w:lang w:val="zh-CN"/>
        </w:rPr>
        <w:t>临时会议</w:t>
      </w:r>
      <w:r>
        <w:rPr>
          <w:rFonts w:hint="eastAsia" w:ascii="仿宋_GB2312" w:hAnsi="仿宋_GB2312" w:eastAsia="仿宋_GB2312" w:cs="仿宋_GB2312"/>
          <w:bCs/>
          <w:sz w:val="24"/>
          <w:szCs w:val="24"/>
          <w:highlight w:val="none"/>
          <w:lang w:val="zh-CN" w:bidi="zh-CN"/>
        </w:rPr>
        <w:t>决定，合法利用本物业项目内道路、</w:t>
      </w:r>
      <w:r>
        <w:rPr>
          <w:rFonts w:hint="eastAsia" w:ascii="仿宋_GB2312" w:hAnsi="仿宋_GB2312" w:eastAsia="仿宋_GB2312" w:cs="仿宋_GB2312"/>
          <w:bCs/>
          <w:sz w:val="24"/>
          <w:szCs w:val="24"/>
          <w:highlight w:val="none"/>
        </w:rPr>
        <w:t>场地</w:t>
      </w:r>
      <w:r>
        <w:rPr>
          <w:rFonts w:hint="eastAsia" w:ascii="仿宋_GB2312" w:hAnsi="仿宋_GB2312" w:eastAsia="仿宋_GB2312" w:cs="仿宋_GB2312"/>
          <w:bCs/>
          <w:sz w:val="24"/>
          <w:szCs w:val="24"/>
          <w:highlight w:val="none"/>
          <w:lang w:val="zh-CN" w:bidi="zh-CN"/>
        </w:rPr>
        <w:t>等业主共有部分增设车位</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lang w:val="zh-CN" w:bidi="zh-CN"/>
        </w:rPr>
        <w:t>个。</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任何单位和个人不得擅自改变经规划批准建成的车位的功能</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挪作他用。</w:t>
      </w:r>
    </w:p>
    <w:p>
      <w:pPr>
        <w:pStyle w:val="3"/>
        <w:spacing w:line="440" w:lineRule="exact"/>
        <w:ind w:firstLine="482"/>
        <w:outlineLvl w:val="3"/>
        <w:rPr>
          <w:rFonts w:hint="eastAsia" w:ascii="仿宋_GB2312" w:hAnsi="仿宋_GB2312" w:eastAsia="仿宋_GB2312" w:cs="仿宋_GB2312"/>
          <w:bCs/>
          <w:sz w:val="24"/>
          <w:szCs w:val="24"/>
          <w:highlight w:val="none"/>
          <w:lang w:val="en-US" w:bidi="ar-SA"/>
        </w:rPr>
      </w:pPr>
      <w:r>
        <w:rPr>
          <w:rFonts w:hint="eastAsia" w:ascii="仿宋_GB2312" w:hAnsi="仿宋_GB2312" w:eastAsia="仿宋_GB2312" w:cs="仿宋_GB2312"/>
          <w:b/>
          <w:sz w:val="24"/>
          <w:szCs w:val="24"/>
          <w:highlight w:val="none"/>
          <w:lang w:val="en-US" w:bidi="ar-SA"/>
        </w:rPr>
        <w:t>第四条</w:t>
      </w:r>
      <w:r>
        <w:rPr>
          <w:rFonts w:hint="eastAsia" w:ascii="仿宋_GB2312" w:hAnsi="仿宋_GB2312" w:eastAsia="仿宋_GB2312" w:cs="仿宋_GB2312"/>
          <w:b/>
          <w:sz w:val="24"/>
          <w:szCs w:val="24"/>
          <w:highlight w:val="none"/>
        </w:rPr>
        <w:t xml:space="preserve"> </w:t>
      </w:r>
      <w:r>
        <w:rPr>
          <w:rFonts w:hint="eastAsia" w:ascii="仿宋_GB2312" w:hAnsi="仿宋_GB2312" w:eastAsia="仿宋_GB2312" w:cs="仿宋_GB2312"/>
          <w:bCs/>
          <w:sz w:val="24"/>
          <w:szCs w:val="24"/>
          <w:highlight w:val="none"/>
        </w:rPr>
        <w:t>车位的产权归属和收益归属，按照法律法规的规定执行。</w:t>
      </w:r>
    </w:p>
    <w:p>
      <w:pPr>
        <w:tabs>
          <w:tab w:val="left" w:leader="underscore" w:pos="6930"/>
        </w:tabs>
        <w:adjustRightInd w:val="0"/>
        <w:snapToGrid w:val="0"/>
        <w:spacing w:line="440" w:lineRule="exact"/>
        <w:ind w:firstLine="0" w:firstLineChars="0"/>
        <w:jc w:val="center"/>
        <w:outlineLvl w:val="2"/>
        <w:rPr>
          <w:rFonts w:hint="eastAsia" w:ascii="国标黑体" w:hAnsi="国标黑体" w:eastAsia="国标黑体" w:cs="国标黑体"/>
          <w:kern w:val="0"/>
          <w:sz w:val="24"/>
          <w:szCs w:val="24"/>
          <w:highlight w:val="none"/>
        </w:rPr>
      </w:pPr>
    </w:p>
    <w:p>
      <w:pPr>
        <w:tabs>
          <w:tab w:val="left" w:leader="underscore" w:pos="6930"/>
        </w:tabs>
        <w:adjustRightInd w:val="0"/>
        <w:snapToGrid w:val="0"/>
        <w:spacing w:line="440" w:lineRule="exact"/>
        <w:ind w:firstLine="0" w:firstLineChars="0"/>
        <w:jc w:val="center"/>
        <w:outlineLvl w:val="2"/>
        <w:rPr>
          <w:rFonts w:hint="eastAsia" w:ascii="国标黑体" w:hAnsi="国标黑体" w:cs="国标黑体"/>
          <w:kern w:val="0"/>
          <w:sz w:val="24"/>
          <w:szCs w:val="24"/>
          <w:highlight w:val="none"/>
        </w:rPr>
      </w:pPr>
      <w:r>
        <w:rPr>
          <w:rFonts w:hint="eastAsia" w:ascii="国标黑体" w:hAnsi="国标黑体" w:eastAsia="国标黑体" w:cs="国标黑体"/>
          <w:kern w:val="0"/>
          <w:sz w:val="24"/>
          <w:szCs w:val="24"/>
          <w:highlight w:val="none"/>
        </w:rPr>
        <w:t>第二章 车位的分配</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第五条</w:t>
      </w:r>
      <w:r>
        <w:rPr>
          <w:rFonts w:hint="eastAsia" w:ascii="仿宋_GB2312" w:hAnsi="仿宋_GB2312" w:eastAsia="仿宋_GB2312" w:cs="仿宋_GB2312"/>
          <w:bCs/>
          <w:sz w:val="24"/>
          <w:szCs w:val="24"/>
          <w:highlight w:val="none"/>
        </w:rPr>
        <w:t xml:space="preserve"> 本物业项目内停车用户类型包括：</w:t>
      </w:r>
    </w:p>
    <w:p>
      <w:pPr>
        <w:spacing w:line="440" w:lineRule="exact"/>
        <w:ind w:firstLine="480"/>
        <w:rPr>
          <w:rFonts w:hint="eastAsia" w:ascii="仿宋_GB2312" w:hAnsi="仿宋_GB2312" w:eastAsia="仿宋_GB2312" w:cs="仿宋_GB2312"/>
          <w:bCs/>
          <w:sz w:val="24"/>
          <w:szCs w:val="24"/>
          <w:highlight w:val="none"/>
          <w:lang w:val="zh-CN"/>
        </w:rPr>
      </w:pPr>
      <w:r>
        <w:rPr>
          <w:rFonts w:hint="eastAsia" w:ascii="仿宋_GB2312" w:hAnsi="仿宋_GB2312" w:eastAsia="仿宋_GB2312" w:cs="仿宋_GB2312"/>
          <w:bCs/>
          <w:sz w:val="24"/>
          <w:szCs w:val="24"/>
          <w:highlight w:val="none"/>
          <w:lang w:val="zh-CN"/>
        </w:rPr>
        <w:t>□</w:t>
      </w:r>
      <w:r>
        <w:rPr>
          <w:rFonts w:hint="eastAsia" w:ascii="仿宋_GB2312" w:hAnsi="仿宋_GB2312" w:eastAsia="仿宋_GB2312" w:cs="仿宋_GB2312"/>
          <w:bCs/>
          <w:sz w:val="24"/>
          <w:szCs w:val="24"/>
          <w:highlight w:val="none"/>
        </w:rPr>
        <w:t>产权车位用户（建设单位产权、保障房运营单位产权、个人产权）</w:t>
      </w:r>
      <w:r>
        <w:rPr>
          <w:rFonts w:hint="eastAsia" w:ascii="仿宋_GB2312" w:hAnsi="仿宋_GB2312" w:eastAsia="仿宋_GB2312" w:cs="仿宋_GB2312"/>
          <w:bCs/>
          <w:sz w:val="24"/>
          <w:szCs w:val="24"/>
          <w:highlight w:val="none"/>
          <w:lang w:val="zh-CN"/>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 xml:space="preserve">□非固定车位长租用户； </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□外部临时车用户。</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第六条 </w:t>
      </w:r>
      <w:r>
        <w:rPr>
          <w:rFonts w:hint="eastAsia" w:ascii="仿宋_GB2312" w:hAnsi="仿宋_GB2312" w:eastAsia="仿宋_GB2312" w:cs="仿宋_GB2312"/>
          <w:bCs/>
          <w:sz w:val="24"/>
          <w:szCs w:val="24"/>
          <w:highlight w:val="none"/>
        </w:rPr>
        <w:t>车位分配方案如下：</w:t>
      </w:r>
    </w:p>
    <w:p>
      <w:pPr>
        <w:spacing w:line="440" w:lineRule="exact"/>
        <w:ind w:firstLine="480"/>
        <w:rPr>
          <w:rFonts w:hint="eastAsia" w:ascii="仿宋_GB2312" w:hAnsi="仿宋_GB2312" w:eastAsia="仿宋_GB2312" w:cs="仿宋_GB2312"/>
          <w:bCs/>
          <w:sz w:val="24"/>
          <w:szCs w:val="24"/>
          <w:highlight w:val="yellow"/>
        </w:rPr>
      </w:pPr>
      <w:r>
        <w:rPr>
          <w:rFonts w:hint="eastAsia" w:ascii="仿宋_GB2312" w:hAnsi="仿宋_GB2312" w:eastAsia="仿宋_GB2312" w:cs="仿宋_GB2312"/>
          <w:bCs/>
          <w:sz w:val="24"/>
          <w:szCs w:val="24"/>
          <w:highlight w:val="none"/>
        </w:rPr>
        <w:t>（一）可售机动车位的受让人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是业主；</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（二）建设单位尚未出售的机动车位，优先租赁给未购买机动车位业主的第一辆机动车停放；</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（三）本物业项目原始规划全体业主机动车位，按照“车辆登记先后”以及“业主优先、每户首辆车优先”的原则排序，依次办理非固定车位长租用户；</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□本物业项目原始规划设计车位之外的区域设置：</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非固定长租车位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个；外部临时车位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 xml:space="preserve">（四）依据行政管理部门（含规划、城市更新和土地整备、道路交通、保障性住房主管部门）对特定类型房屋车位数量及配置比例的规定，分配情况如下： </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□公共租赁住房，分配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个非固定长租车位；</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□保障性租赁住房，分配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个非固定长租车位；</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□其他保障性住房，分配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none"/>
        </w:rPr>
        <w:t>个</w:t>
      </w:r>
      <w:r>
        <w:rPr>
          <w:rFonts w:hint="eastAsia" w:ascii="仿宋_GB2312" w:hAnsi="仿宋_GB2312" w:eastAsia="仿宋_GB2312" w:cs="仿宋_GB2312"/>
          <w:bCs/>
          <w:sz w:val="24"/>
          <w:szCs w:val="24"/>
          <w:highlight w:val="none"/>
        </w:rPr>
        <w:t>非固定</w:t>
      </w:r>
      <w:r>
        <w:rPr>
          <w:rFonts w:hint="eastAsia" w:ascii="仿宋_GB2312" w:hAnsi="仿宋_GB2312" w:eastAsia="仿宋_GB2312" w:cs="仿宋_GB2312"/>
          <w:bCs/>
          <w:sz w:val="24"/>
          <w:szCs w:val="24"/>
          <w:highlight w:val="none"/>
          <w:u w:val="none"/>
        </w:rPr>
        <w:t>长租</w:t>
      </w:r>
      <w:r>
        <w:rPr>
          <w:rFonts w:hint="eastAsia" w:ascii="仿宋_GB2312" w:hAnsi="仿宋_GB2312" w:eastAsia="仿宋_GB2312" w:cs="仿宋_GB2312"/>
          <w:bCs/>
          <w:sz w:val="24"/>
          <w:szCs w:val="24"/>
          <w:highlight w:val="none"/>
        </w:rPr>
        <w:t>车位。</w:t>
      </w:r>
    </w:p>
    <w:p>
      <w:pPr>
        <w:spacing w:line="440" w:lineRule="exact"/>
        <w:ind w:firstLine="482"/>
        <w:outlineLvl w:val="3"/>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
          <w:sz w:val="24"/>
          <w:szCs w:val="24"/>
          <w:highlight w:val="none"/>
        </w:rPr>
        <w:t xml:space="preserve">第七条 </w:t>
      </w:r>
      <w:r>
        <w:rPr>
          <w:rFonts w:hint="eastAsia" w:ascii="仿宋_GB2312" w:hAnsi="仿宋_GB2312" w:eastAsia="仿宋_GB2312" w:cs="仿宋_GB2312"/>
          <w:bCs/>
          <w:sz w:val="24"/>
          <w:szCs w:val="24"/>
          <w:highlight w:val="none"/>
        </w:rPr>
        <w:t>停车管理单位建立、管理长租车位轮候库</w:t>
      </w:r>
      <w:r>
        <w:rPr>
          <w:rFonts w:hint="eastAsia" w:ascii="仿宋_GB2312" w:hAnsi="仿宋_GB2312" w:eastAsia="仿宋_GB2312" w:cs="仿宋_GB2312"/>
          <w:bCs/>
          <w:sz w:val="24"/>
          <w:szCs w:val="24"/>
          <w:highlight w:val="none"/>
          <w:lang w:eastAsia="zh-CN"/>
        </w:rPr>
        <w:t>，具体方案如下：</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none"/>
          <w:lang w:eastAsia="zh-CN"/>
        </w:rPr>
        <w:t>。</w:t>
      </w:r>
    </w:p>
    <w:p>
      <w:pPr>
        <w:spacing w:line="440" w:lineRule="exact"/>
        <w:ind w:firstLine="482"/>
        <w:outlineLvl w:val="3"/>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
          <w:sz w:val="24"/>
          <w:szCs w:val="24"/>
          <w:highlight w:val="none"/>
        </w:rPr>
        <w:t xml:space="preserve">第八条 </w:t>
      </w:r>
      <w:r>
        <w:rPr>
          <w:rFonts w:hint="eastAsia" w:ascii="仿宋_GB2312" w:hAnsi="仿宋_GB2312" w:eastAsia="仿宋_GB2312" w:cs="仿宋_GB2312"/>
          <w:bCs/>
          <w:sz w:val="24"/>
          <w:szCs w:val="24"/>
          <w:highlight w:val="none"/>
        </w:rPr>
        <w:t>本物业项目内设置有新能源汽车公共充电桩的车位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已安装新能源汽车公共充电桩的车位优先供新能源汽车充电使用。</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非新能源汽车确需停放在该类车位的，在车辆</w:t>
      </w:r>
      <w:r>
        <w:rPr>
          <w:rFonts w:hint="eastAsia" w:ascii="仿宋_GB2312" w:hAnsi="仿宋_GB2312" w:eastAsia="仿宋_GB2312" w:cs="仿宋_GB2312"/>
          <w:bCs/>
          <w:sz w:val="24"/>
          <w:szCs w:val="24"/>
          <w:highlight w:val="none"/>
          <w:lang w:val="en-US" w:eastAsia="zh-CN"/>
        </w:rPr>
        <w:t>醒目</w:t>
      </w:r>
      <w:r>
        <w:rPr>
          <w:rFonts w:hint="eastAsia" w:ascii="仿宋_GB2312" w:hAnsi="仿宋_GB2312" w:eastAsia="仿宋_GB2312" w:cs="仿宋_GB2312"/>
          <w:bCs/>
          <w:sz w:val="24"/>
          <w:szCs w:val="24"/>
          <w:highlight w:val="none"/>
        </w:rPr>
        <w:t>位置留下联系电话；新能源汽车有充电需求且有其他车位空余情况下，予以让位停放。</w:t>
      </w:r>
    </w:p>
    <w:p>
      <w:pPr>
        <w:pStyle w:val="3"/>
        <w:spacing w:line="440" w:lineRule="exact"/>
        <w:ind w:firstLine="482"/>
        <w:outlineLvl w:val="3"/>
        <w:rPr>
          <w:rFonts w:hint="eastAsia" w:ascii="仿宋_GB2312" w:hAnsi="仿宋_GB2312" w:eastAsia="仿宋_GB2312" w:cs="仿宋_GB2312"/>
          <w:bCs/>
          <w:sz w:val="24"/>
          <w:szCs w:val="24"/>
          <w:highlight w:val="none"/>
          <w:lang w:val="en-US" w:bidi="ar-SA"/>
        </w:rPr>
      </w:pPr>
      <w:r>
        <w:rPr>
          <w:rFonts w:hint="eastAsia" w:ascii="仿宋_GB2312" w:hAnsi="仿宋_GB2312" w:eastAsia="仿宋_GB2312" w:cs="仿宋_GB2312"/>
          <w:b/>
          <w:sz w:val="24"/>
          <w:szCs w:val="24"/>
          <w:highlight w:val="none"/>
          <w:lang w:val="en-US" w:bidi="ar-SA"/>
        </w:rPr>
        <w:t>第九条</w:t>
      </w:r>
      <w:r>
        <w:rPr>
          <w:rFonts w:hint="eastAsia" w:ascii="仿宋_GB2312" w:hAnsi="仿宋_GB2312" w:eastAsia="仿宋_GB2312" w:cs="仿宋_GB2312"/>
          <w:bCs/>
          <w:sz w:val="24"/>
          <w:szCs w:val="24"/>
          <w:highlight w:val="none"/>
          <w:lang w:val="en-US" w:bidi="ar-SA"/>
        </w:rPr>
        <w:t xml:space="preserve"> 持有残疾（下肢）证及C5驾照的业主，经居（村）委会审核，该业主</w:t>
      </w:r>
      <w:r>
        <w:rPr>
          <w:rFonts w:hint="eastAsia" w:ascii="仿宋_GB2312" w:hAnsi="仿宋_GB2312" w:eastAsia="仿宋_GB2312" w:cs="仿宋_GB2312"/>
          <w:bCs/>
          <w:sz w:val="24"/>
          <w:szCs w:val="24"/>
          <w:highlight w:val="none"/>
          <w:lang w:val="en-US" w:eastAsia="zh-CN" w:bidi="ar-SA"/>
        </w:rPr>
        <w:t>或者</w:t>
      </w:r>
      <w:r>
        <w:rPr>
          <w:rFonts w:hint="eastAsia" w:ascii="仿宋_GB2312" w:hAnsi="仿宋_GB2312" w:eastAsia="仿宋_GB2312" w:cs="仿宋_GB2312"/>
          <w:bCs/>
          <w:sz w:val="24"/>
          <w:szCs w:val="24"/>
          <w:highlight w:val="none"/>
          <w:lang w:val="en-US" w:bidi="ar-SA"/>
        </w:rPr>
        <w:t>亲属购置的机动车享有优先停放其住址附近车位的待遇，停车管理单位视车位使用情况就近指定车位停放。</w:t>
      </w:r>
    </w:p>
    <w:p>
      <w:pPr>
        <w:tabs>
          <w:tab w:val="left" w:leader="underscore" w:pos="6930"/>
        </w:tabs>
        <w:adjustRightInd w:val="0"/>
        <w:snapToGrid w:val="0"/>
        <w:spacing w:line="440" w:lineRule="exact"/>
        <w:ind w:firstLine="0" w:firstLineChars="0"/>
        <w:jc w:val="center"/>
        <w:outlineLvl w:val="2"/>
        <w:rPr>
          <w:rFonts w:hint="eastAsia" w:ascii="国标黑体" w:hAnsi="国标黑体" w:eastAsia="国标黑体" w:cs="国标黑体"/>
          <w:kern w:val="0"/>
          <w:sz w:val="24"/>
          <w:szCs w:val="24"/>
          <w:highlight w:val="none"/>
        </w:rPr>
      </w:pPr>
    </w:p>
    <w:p>
      <w:pPr>
        <w:tabs>
          <w:tab w:val="left" w:leader="underscore" w:pos="6930"/>
        </w:tabs>
        <w:adjustRightInd w:val="0"/>
        <w:snapToGrid w:val="0"/>
        <w:spacing w:line="440" w:lineRule="exact"/>
        <w:ind w:firstLine="0" w:firstLineChars="0"/>
        <w:jc w:val="center"/>
        <w:outlineLvl w:val="2"/>
        <w:rPr>
          <w:rFonts w:hint="eastAsia" w:ascii="国标黑体" w:hAnsi="国标黑体" w:eastAsia="国标黑体" w:cs="国标黑体"/>
          <w:kern w:val="0"/>
          <w:sz w:val="24"/>
          <w:szCs w:val="24"/>
          <w:highlight w:val="none"/>
        </w:rPr>
      </w:pPr>
      <w:r>
        <w:rPr>
          <w:rFonts w:hint="eastAsia" w:ascii="国标黑体" w:hAnsi="国标黑体" w:eastAsia="国标黑体" w:cs="国标黑体"/>
          <w:kern w:val="0"/>
          <w:sz w:val="24"/>
          <w:szCs w:val="24"/>
          <w:highlight w:val="none"/>
        </w:rPr>
        <w:t>第三章 车位的管理</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第十条</w:t>
      </w:r>
      <w:r>
        <w:rPr>
          <w:rFonts w:hint="eastAsia" w:ascii="仿宋_GB2312" w:hAnsi="仿宋_GB2312" w:eastAsia="仿宋_GB2312" w:cs="仿宋_GB2312"/>
          <w:bCs/>
          <w:sz w:val="24"/>
          <w:szCs w:val="24"/>
          <w:highlight w:val="none"/>
        </w:rPr>
        <w:t xml:space="preserve"> 办理长租车位的车主，</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向停车管理单位提交不动产权属证书、车辆行驶证、身份证</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其他有关补充证明材料进行登记。未经登记均视为外部临时车。</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业主书面授权且提交相关证明材料（如户口本、结婚证、房屋租赁合同等复印件）后，以下人员名下车辆可办理</w:t>
      </w:r>
      <w:r>
        <w:rPr>
          <w:rFonts w:hint="eastAsia" w:ascii="仿宋_GB2312" w:hAnsi="仿宋_GB2312" w:eastAsia="仿宋_GB2312" w:cs="仿宋_GB2312"/>
          <w:bCs/>
          <w:sz w:val="24"/>
          <w:szCs w:val="24"/>
          <w:highlight w:val="none"/>
          <w:lang w:eastAsia="zh-CN"/>
        </w:rPr>
        <w:t>非固定</w:t>
      </w:r>
      <w:r>
        <w:rPr>
          <w:rFonts w:hint="eastAsia" w:ascii="仿宋_GB2312" w:hAnsi="仿宋_GB2312" w:eastAsia="仿宋_GB2312" w:cs="仿宋_GB2312"/>
          <w:bCs/>
          <w:sz w:val="24"/>
          <w:szCs w:val="24"/>
          <w:highlight w:val="none"/>
        </w:rPr>
        <w:t>长租：</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□配偶  □父母  □子女  □租户  □其他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 xml:space="preserve"> </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第十一条</w:t>
      </w:r>
      <w:r>
        <w:rPr>
          <w:rFonts w:hint="eastAsia" w:ascii="仿宋_GB2312" w:hAnsi="仿宋_GB2312" w:eastAsia="仿宋_GB2312" w:cs="仿宋_GB2312"/>
          <w:bCs/>
          <w:sz w:val="24"/>
          <w:szCs w:val="24"/>
          <w:highlight w:val="none"/>
        </w:rPr>
        <w:t xml:space="preserve"> 外部临时车用户进入停车场（库）时，停车管理单位放行前的操作程序依次为：1</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rPr>
        <w:t>询问来访事由；2</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rPr>
        <w:t>与受访人员确认；3</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rPr>
        <w:t>登记联系方式</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lang w:val="en-US" w:eastAsia="zh-CN"/>
        </w:rPr>
        <w:t>4.</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外部临时车用户停车时，停车管理单位</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出具合法、有效凭证。</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rPr>
        <w:t>未经停车管理单位许可</w:t>
      </w:r>
      <w:r>
        <w:rPr>
          <w:rFonts w:hint="eastAsia" w:ascii="仿宋_GB2312" w:hAnsi="仿宋_GB2312" w:eastAsia="仿宋_GB2312" w:cs="仿宋_GB2312"/>
          <w:bCs/>
          <w:sz w:val="24"/>
          <w:szCs w:val="24"/>
          <w:highlight w:val="none"/>
        </w:rPr>
        <w:t>不予</w:t>
      </w:r>
      <w:r>
        <w:rPr>
          <w:rFonts w:hint="eastAsia" w:ascii="仿宋_GB2312" w:hAnsi="仿宋_GB2312" w:eastAsia="仿宋_GB2312" w:cs="仿宋_GB2312"/>
          <w:bCs/>
          <w:sz w:val="24"/>
          <w:szCs w:val="24"/>
          <w:highlight w:val="none"/>
          <w:lang w:val="en-US"/>
        </w:rPr>
        <w:t>进入</w:t>
      </w:r>
      <w:r>
        <w:rPr>
          <w:rFonts w:hint="eastAsia" w:ascii="仿宋_GB2312" w:hAnsi="仿宋_GB2312" w:eastAsia="仿宋_GB2312" w:cs="仿宋_GB2312"/>
          <w:bCs/>
          <w:sz w:val="24"/>
          <w:szCs w:val="24"/>
          <w:highlight w:val="none"/>
        </w:rPr>
        <w:t>的几种情形：</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rPr>
        <w:t>1.</w:t>
      </w:r>
      <w:r>
        <w:rPr>
          <w:rFonts w:hint="eastAsia" w:ascii="仿宋_GB2312" w:hAnsi="仿宋_GB2312" w:eastAsia="仿宋_GB2312" w:cs="仿宋_GB2312"/>
          <w:bCs/>
          <w:sz w:val="24"/>
          <w:szCs w:val="24"/>
          <w:highlight w:val="none"/>
        </w:rPr>
        <w:t>超长（</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m</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按相关规定执行）、超宽（</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m</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按相关规定执行）、超高（</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m</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按相关规定执行）、超重（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kg</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按相关规定执行）的货运车辆</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特种车辆；</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rPr>
        <w:t>2.</w:t>
      </w:r>
      <w:r>
        <w:rPr>
          <w:rFonts w:hint="eastAsia" w:ascii="仿宋_GB2312" w:hAnsi="仿宋_GB2312" w:eastAsia="仿宋_GB2312" w:cs="仿宋_GB2312"/>
          <w:bCs/>
          <w:sz w:val="24"/>
          <w:szCs w:val="24"/>
          <w:highlight w:val="none"/>
        </w:rPr>
        <w:t>装运有毒、有害、易燃、易爆物品的车辆；</w:t>
      </w:r>
    </w:p>
    <w:p>
      <w:pPr>
        <w:pStyle w:val="3"/>
        <w:spacing w:line="440" w:lineRule="exact"/>
        <w:ind w:firstLine="480"/>
        <w:rPr>
          <w:rFonts w:hint="eastAsia" w:ascii="仿宋_GB2312" w:hAnsi="仿宋_GB2312" w:eastAsia="仿宋_GB2312" w:cs="仿宋_GB2312"/>
          <w:bCs/>
          <w:sz w:val="24"/>
          <w:szCs w:val="24"/>
          <w:highlight w:val="none"/>
          <w:lang w:val="en-US"/>
        </w:rPr>
      </w:pPr>
      <w:r>
        <w:rPr>
          <w:rFonts w:hint="eastAsia" w:ascii="仿宋_GB2312" w:hAnsi="仿宋_GB2312" w:eastAsia="仿宋_GB2312" w:cs="仿宋_GB2312"/>
          <w:bCs/>
          <w:sz w:val="24"/>
          <w:szCs w:val="24"/>
          <w:highlight w:val="none"/>
          <w:lang w:val="en-US"/>
        </w:rPr>
        <w:t>3.</w:t>
      </w:r>
      <w:r>
        <w:rPr>
          <w:rFonts w:hint="eastAsia" w:ascii="仿宋_GB2312" w:hAnsi="仿宋_GB2312" w:eastAsia="仿宋_GB2312" w:cs="仿宋_GB2312"/>
          <w:bCs/>
          <w:sz w:val="24"/>
          <w:szCs w:val="24"/>
          <w:highlight w:val="none"/>
        </w:rPr>
        <w:t>核定座位数＞</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rPr>
        <w:t>座的运营型中大型车辆；</w:t>
      </w:r>
      <w:r>
        <w:rPr>
          <w:rFonts w:hint="eastAsia" w:ascii="仿宋_GB2312" w:hAnsi="仿宋_GB2312" w:eastAsia="仿宋_GB2312" w:cs="仿宋_GB2312"/>
          <w:bCs/>
          <w:sz w:val="24"/>
          <w:szCs w:val="24"/>
          <w:highlight w:val="none"/>
          <w:lang w:val="en-US"/>
        </w:rPr>
        <w:t xml:space="preserve"> </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bidi="ar-SA"/>
        </w:rPr>
        <w:t>4.</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lang w:val="en-US" w:bidi="ar-SA"/>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公安、消防、急救、抢险、环卫等车辆进入本物业项目执行公务，停车管理单位免收停车费，并做好记录。</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第十二条</w:t>
      </w:r>
      <w:r>
        <w:rPr>
          <w:rFonts w:hint="eastAsia" w:ascii="仿宋_GB2312" w:hAnsi="仿宋_GB2312" w:eastAsia="仿宋_GB2312" w:cs="仿宋_GB2312"/>
          <w:bCs/>
          <w:sz w:val="24"/>
          <w:szCs w:val="24"/>
          <w:highlight w:val="none"/>
        </w:rPr>
        <w:t xml:space="preserve"> 本物业项目各类型停车用户的停车费标准如下：</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□建设单位产权车位租赁用户</w:t>
      </w:r>
    </w:p>
    <w:p>
      <w:pPr>
        <w:pStyle w:val="3"/>
        <w:spacing w:line="440" w:lineRule="exact"/>
        <w:ind w:firstLine="480"/>
        <w:rPr>
          <w:rFonts w:hint="eastAsia" w:ascii="仿宋_GB2312" w:hAnsi="仿宋_GB2312" w:eastAsia="仿宋_GB2312" w:cs="仿宋_GB2312"/>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rPr>
        <w:t>元/月/辆；○其他收费方案</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none"/>
          <w:lang w:val="en-US"/>
        </w:rPr>
        <w:t>；</w:t>
      </w:r>
      <w:r>
        <w:rPr>
          <w:rFonts w:hint="eastAsia" w:ascii="仿宋_GB2312" w:hAnsi="仿宋_GB2312" w:eastAsia="仿宋_GB2312" w:cs="仿宋_GB2312"/>
          <w:bCs/>
          <w:sz w:val="24"/>
          <w:szCs w:val="24"/>
          <w:highlight w:val="none"/>
          <w:u w:val="single"/>
          <w:lang w:val="en-US"/>
        </w:rPr>
        <w:t xml:space="preserve"> </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□保障房运营单位产权车位租赁用户</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元/月/辆；○其他收费方案</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□非固定车位长租用户</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元/月/辆，第二辆</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none"/>
        </w:rPr>
        <w:t>元/月/辆</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□外部临时车用户</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○定额收费</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元/次；</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○按时收费</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元/时；</w:t>
      </w:r>
    </w:p>
    <w:p>
      <w:pPr>
        <w:spacing w:line="440" w:lineRule="exact"/>
        <w:ind w:firstLine="480"/>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Cs/>
          <w:sz w:val="24"/>
          <w:szCs w:val="24"/>
          <w:highlight w:val="none"/>
        </w:rPr>
        <w:t>○其他收费方案</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none"/>
        </w:rPr>
        <w:t>。</w:t>
      </w:r>
    </w:p>
    <w:p>
      <w:pPr>
        <w:spacing w:line="440" w:lineRule="exact"/>
        <w:ind w:firstLine="480"/>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Cs/>
          <w:sz w:val="24"/>
          <w:szCs w:val="24"/>
          <w:highlight w:val="none"/>
        </w:rPr>
        <w:t>连续六个月从未离开本物业项目的外部临时车，自第</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月起收费方案为</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本物业项目业主大会临时</w:t>
      </w:r>
      <w:r>
        <w:rPr>
          <w:rFonts w:hint="eastAsia" w:ascii="仿宋_GB2312" w:hAnsi="仿宋_GB2312" w:eastAsia="仿宋_GB2312" w:cs="仿宋_GB2312"/>
          <w:bCs/>
          <w:sz w:val="24"/>
          <w:szCs w:val="24"/>
          <w:highlight w:val="none"/>
          <w:lang w:eastAsia="zh-CN"/>
        </w:rPr>
        <w:t>会议</w:t>
      </w:r>
      <w:r>
        <w:rPr>
          <w:rFonts w:hint="eastAsia" w:ascii="仿宋_GB2312" w:hAnsi="仿宋_GB2312" w:eastAsia="仿宋_GB2312" w:cs="仿宋_GB2312"/>
          <w:bCs/>
          <w:sz w:val="24"/>
          <w:szCs w:val="24"/>
          <w:highlight w:val="none"/>
        </w:rPr>
        <w:t>可依法表决调整机动车停车收费标准。以上收费标准在收费地点</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显著位置进行公示，停车管理单位不得擅自调整。</w:t>
      </w:r>
    </w:p>
    <w:p>
      <w:pPr>
        <w:spacing w:line="440" w:lineRule="exact"/>
        <w:ind w:firstLine="482" w:firstLineChars="200"/>
        <w:jc w:val="left"/>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第十三条</w:t>
      </w:r>
      <w:r>
        <w:rPr>
          <w:rFonts w:hint="eastAsia" w:ascii="仿宋_GB2312" w:hAnsi="仿宋_GB2312" w:eastAsia="仿宋_GB2312" w:cs="仿宋_GB2312"/>
          <w:bCs/>
          <w:sz w:val="24"/>
          <w:szCs w:val="24"/>
          <w:highlight w:val="none"/>
        </w:rPr>
        <w:t xml:space="preserve"> 各类型用户车辆进出停车场（库）时，按指示标识行驶，车速不得超过</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公里/时，做到减速慢行、礼让行人，禁止鸣笛、有序排队、文明行驶。</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第十四条 </w:t>
      </w:r>
      <w:r>
        <w:rPr>
          <w:rFonts w:hint="eastAsia" w:ascii="仿宋_GB2312" w:hAnsi="仿宋_GB2312" w:eastAsia="仿宋_GB2312" w:cs="仿宋_GB2312"/>
          <w:bCs/>
          <w:sz w:val="24"/>
          <w:szCs w:val="24"/>
          <w:highlight w:val="none"/>
        </w:rPr>
        <w:t>各类型用户车辆使用停车场（库）时，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遵守本办法，服从管理人员的指挥。停车场（库）禁止下列行为：</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（一）阻塞停车场（库）出入口；</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（二）逆向行驶；</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（三）将车辆停放在消防通道；</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停放在内部通行道路、行人通道、绿化用地等非划定</w:t>
      </w:r>
      <w:r>
        <w:rPr>
          <w:rFonts w:hint="eastAsia" w:ascii="仿宋_GB2312" w:hAnsi="仿宋_GB2312" w:eastAsia="仿宋_GB2312" w:cs="仿宋_GB2312"/>
          <w:bCs/>
          <w:sz w:val="24"/>
          <w:szCs w:val="24"/>
          <w:highlight w:val="none"/>
          <w:lang w:eastAsia="zh-CN"/>
        </w:rPr>
        <w:t>或者有明确标识禁止停车</w:t>
      </w:r>
      <w:r>
        <w:rPr>
          <w:rFonts w:hint="eastAsia" w:ascii="仿宋_GB2312" w:hAnsi="仿宋_GB2312" w:eastAsia="仿宋_GB2312" w:cs="仿宋_GB2312"/>
          <w:bCs/>
          <w:sz w:val="24"/>
          <w:szCs w:val="24"/>
          <w:highlight w:val="none"/>
        </w:rPr>
        <w:t>的区域；</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（四）不按划定的停车线停放；</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（五）擅自在车位加装地锁、充电桩等设施设备；</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擅自在车位上停放非机动车、摆放物品；</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color w:val="0F1115"/>
          <w:kern w:val="2"/>
          <w:sz w:val="24"/>
          <w:szCs w:val="24"/>
          <w:highlight w:val="none"/>
          <w:shd w:val="clear" w:color="auto" w:fill="auto"/>
        </w:rPr>
        <w:t>（六）长期停放僵尸车；</w:t>
      </w:r>
      <w:r>
        <w:rPr>
          <w:rFonts w:hint="eastAsia" w:ascii="仿宋_GB2312" w:hAnsi="仿宋_GB2312" w:eastAsia="仿宋_GB2312" w:cs="仿宋_GB2312"/>
          <w:bCs/>
          <w:color w:val="0F1115"/>
          <w:kern w:val="2"/>
          <w:sz w:val="24"/>
          <w:szCs w:val="24"/>
          <w:highlight w:val="none"/>
          <w:shd w:val="clear" w:color="auto" w:fill="auto"/>
          <w:lang w:eastAsia="zh-CN"/>
        </w:rPr>
        <w:t>或者</w:t>
      </w:r>
      <w:r>
        <w:rPr>
          <w:rFonts w:hint="eastAsia" w:ascii="仿宋_GB2312" w:hAnsi="仿宋_GB2312" w:eastAsia="仿宋_GB2312" w:cs="仿宋_GB2312"/>
          <w:bCs/>
          <w:color w:val="0F1115"/>
          <w:kern w:val="2"/>
          <w:sz w:val="24"/>
          <w:szCs w:val="24"/>
          <w:highlight w:val="none"/>
          <w:shd w:val="clear" w:color="auto" w:fill="auto"/>
        </w:rPr>
        <w:t>非新能源汽车长时间占用新能源</w:t>
      </w:r>
      <w:r>
        <w:rPr>
          <w:rFonts w:hint="eastAsia" w:ascii="仿宋_GB2312" w:hAnsi="仿宋_GB2312" w:eastAsia="仿宋_GB2312" w:cs="仿宋_GB2312"/>
          <w:bCs/>
          <w:color w:val="0F1115"/>
          <w:kern w:val="2"/>
          <w:sz w:val="24"/>
          <w:szCs w:val="24"/>
          <w:highlight w:val="none"/>
          <w:shd w:val="clear" w:color="auto" w:fill="auto"/>
          <w:lang w:eastAsia="zh-CN"/>
        </w:rPr>
        <w:t>汽</w:t>
      </w:r>
      <w:r>
        <w:rPr>
          <w:rFonts w:hint="eastAsia" w:ascii="仿宋_GB2312" w:hAnsi="仿宋_GB2312" w:eastAsia="仿宋_GB2312" w:cs="仿宋_GB2312"/>
          <w:bCs/>
          <w:color w:val="0F1115"/>
          <w:kern w:val="2"/>
          <w:sz w:val="24"/>
          <w:szCs w:val="24"/>
          <w:highlight w:val="none"/>
          <w:shd w:val="clear" w:color="auto" w:fill="auto"/>
        </w:rPr>
        <w:t>车充电桩车位；</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各类型停车用户存在下列任何一种情形的，均视为严重违规：</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□本条禁止行为第</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项情形；</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□连续</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个月内累计出现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次及以上本条禁止行为第</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项情形；</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提示、督促来访车辆遵守本办法，来访人员在本物业项目停车场（库）发生纠纷时，业主、使用人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协助处理。</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val="0"/>
          <w:bCs/>
          <w:sz w:val="24"/>
          <w:szCs w:val="24"/>
          <w:highlight w:val="none"/>
          <w:lang w:eastAsia="zh-CN"/>
        </w:rPr>
        <w:t>各类型停车用户</w:t>
      </w:r>
      <w:r>
        <w:rPr>
          <w:rFonts w:hint="eastAsia" w:ascii="仿宋_GB2312" w:hAnsi="仿宋_GB2312" w:eastAsia="仿宋_GB2312" w:cs="仿宋_GB2312"/>
          <w:bCs/>
          <w:sz w:val="24"/>
          <w:szCs w:val="24"/>
          <w:highlight w:val="none"/>
        </w:rPr>
        <w:t>出现禁止行为中的任一行为时，前期物业服务企业予以劝阻；受侵害受影响的车主可将相关资料提交前期物业服务企业。前期物业服务企业将不听劝阻和经相关部门审核认定相关行为存在违规的情况存档。</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第十五条 </w:t>
      </w:r>
      <w:r>
        <w:rPr>
          <w:rFonts w:hint="eastAsia" w:ascii="仿宋_GB2312" w:hAnsi="仿宋_GB2312" w:eastAsia="仿宋_GB2312" w:cs="仿宋_GB2312"/>
          <w:bCs/>
          <w:sz w:val="24"/>
          <w:szCs w:val="24"/>
          <w:highlight w:val="none"/>
        </w:rPr>
        <w:t>对于长期占用车位、长期拖欠停车费、已达报废年限、无人使用和维护、外观严重残破的车辆，停车管理单位可通过线上、电话、线下、挂号信等方式告知车主主动移走车辆。对于无法联系且欠费</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能联系上但拒不缴费的，将相关情况报请公安交管部门依法处理，停车管理单位可配合实施车辆移离。</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对于欠费金额较大的车辆，经催告后仍拒不支付的，可通过司法途径追讨停车费</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拖车费。</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第十六条 </w:t>
      </w:r>
      <w:r>
        <w:rPr>
          <w:rFonts w:hint="eastAsia" w:ascii="仿宋_GB2312" w:hAnsi="仿宋_GB2312" w:eastAsia="仿宋_GB2312" w:cs="仿宋_GB2312"/>
          <w:bCs/>
          <w:sz w:val="24"/>
          <w:szCs w:val="24"/>
          <w:highlight w:val="none"/>
        </w:rPr>
        <w:t>车位长租用户有下列情形时，停车管理单位可取消其长租资格：</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□本办法第十四条规定的严重违规情形；</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□已转让本物业项目内的房屋；</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□不再承租本物业项目内的房屋；</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□用户自愿申请取消长租资格；</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□经两次有效告知后，仍未按时支付停车租赁费用；</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□有转租、转借行为；</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因上述第</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项情形取消停车长租的，</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个月后方可重新申请</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轮候。</w:t>
      </w:r>
    </w:p>
    <w:p>
      <w:pPr>
        <w:spacing w:line="440" w:lineRule="exact"/>
        <w:ind w:firstLine="482"/>
        <w:outlineLvl w:val="3"/>
        <w:rPr>
          <w:rFonts w:hint="eastAsia" w:ascii="仿宋_GB2312" w:hAnsi="仿宋_GB2312" w:eastAsia="仿宋_GB2312" w:cs="仿宋_GB2312"/>
          <w:bCs/>
          <w:sz w:val="24"/>
          <w:highlight w:val="none"/>
        </w:rPr>
      </w:pPr>
      <w:r>
        <w:rPr>
          <w:rFonts w:hint="eastAsia" w:ascii="仿宋_GB2312" w:hAnsi="仿宋_GB2312" w:eastAsia="仿宋_GB2312" w:cs="仿宋_GB2312"/>
          <w:b/>
          <w:sz w:val="24"/>
          <w:szCs w:val="24"/>
          <w:highlight w:val="none"/>
        </w:rPr>
        <w:t>第十七条</w:t>
      </w:r>
      <w:r>
        <w:rPr>
          <w:rFonts w:hint="eastAsia" w:ascii="仿宋_GB2312" w:hAnsi="仿宋_GB2312" w:eastAsia="仿宋_GB2312" w:cs="仿宋_GB2312"/>
          <w:bCs/>
          <w:sz w:val="24"/>
          <w:szCs w:val="24"/>
          <w:highlight w:val="none"/>
        </w:rPr>
        <w:t xml:space="preserve"> 停车管理单位按月公示如下内容：</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eastAsia="zh-CN"/>
        </w:rPr>
        <w:t>非固定</w:t>
      </w:r>
      <w:r>
        <w:rPr>
          <w:rFonts w:hint="eastAsia" w:ascii="仿宋_GB2312" w:hAnsi="仿宋_GB2312" w:eastAsia="仿宋_GB2312" w:cs="仿宋_GB2312"/>
          <w:bCs/>
          <w:sz w:val="24"/>
          <w:szCs w:val="24"/>
          <w:highlight w:val="none"/>
        </w:rPr>
        <w:t>长租停车的期初、期末数量；</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□外部临时车数量；</w:t>
      </w:r>
    </w:p>
    <w:p>
      <w:pPr>
        <w:pStyle w:val="3"/>
        <w:spacing w:line="440" w:lineRule="exact"/>
        <w:ind w:firstLine="480"/>
        <w:rPr>
          <w:rFonts w:hint="eastAsia" w:ascii="仿宋_GB2312" w:hAnsi="仿宋_GB2312" w:eastAsia="仿宋_GB2312" w:cs="仿宋_GB2312"/>
          <w:sz w:val="24"/>
          <w:szCs w:val="24"/>
          <w:highlight w:val="none"/>
        </w:rPr>
      </w:pPr>
      <w:r>
        <w:rPr>
          <w:rFonts w:hint="eastAsia" w:ascii="仿宋_GB2312" w:hAnsi="仿宋_GB2312" w:eastAsia="仿宋_GB2312" w:cs="仿宋_GB2312"/>
          <w:bCs/>
          <w:sz w:val="24"/>
          <w:szCs w:val="24"/>
          <w:highlight w:val="none"/>
        </w:rPr>
        <w:t>□其他：</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rPr>
        <w:t>。</w:t>
      </w:r>
    </w:p>
    <w:p>
      <w:pPr>
        <w:tabs>
          <w:tab w:val="left" w:leader="underscore" w:pos="6930"/>
        </w:tabs>
        <w:adjustRightInd w:val="0"/>
        <w:snapToGrid w:val="0"/>
        <w:spacing w:line="440" w:lineRule="exact"/>
        <w:ind w:firstLine="0" w:firstLineChars="0"/>
        <w:jc w:val="center"/>
        <w:outlineLvl w:val="2"/>
        <w:rPr>
          <w:rFonts w:hint="eastAsia" w:ascii="国标黑体" w:hAnsi="国标黑体" w:eastAsia="国标黑体" w:cs="国标黑体"/>
          <w:kern w:val="0"/>
          <w:sz w:val="24"/>
          <w:szCs w:val="24"/>
          <w:highlight w:val="none"/>
        </w:rPr>
      </w:pPr>
    </w:p>
    <w:p>
      <w:pPr>
        <w:tabs>
          <w:tab w:val="left" w:leader="underscore" w:pos="6930"/>
        </w:tabs>
        <w:adjustRightInd w:val="0"/>
        <w:snapToGrid w:val="0"/>
        <w:spacing w:line="440" w:lineRule="exact"/>
        <w:ind w:firstLine="0" w:firstLineChars="0"/>
        <w:jc w:val="center"/>
        <w:outlineLvl w:val="2"/>
        <w:rPr>
          <w:rFonts w:hint="eastAsia" w:ascii="国标黑体" w:hAnsi="国标黑体" w:eastAsia="国标黑体" w:cs="国标黑体"/>
          <w:kern w:val="0"/>
          <w:sz w:val="24"/>
          <w:szCs w:val="24"/>
          <w:highlight w:val="none"/>
        </w:rPr>
      </w:pPr>
      <w:r>
        <w:rPr>
          <w:rFonts w:hint="eastAsia" w:ascii="国标黑体" w:hAnsi="国标黑体" w:eastAsia="国标黑体" w:cs="国标黑体"/>
          <w:kern w:val="0"/>
          <w:sz w:val="24"/>
          <w:szCs w:val="24"/>
          <w:highlight w:val="none"/>
        </w:rPr>
        <w:t>第四章  附则</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bCs w:val="0"/>
          <w:sz w:val="24"/>
          <w:szCs w:val="24"/>
          <w:highlight w:val="none"/>
        </w:rPr>
        <w:t>第十八条</w:t>
      </w:r>
      <w:r>
        <w:rPr>
          <w:rFonts w:hint="eastAsia" w:ascii="仿宋_GB2312" w:hAnsi="仿宋_GB2312" w:eastAsia="仿宋_GB2312" w:cs="仿宋_GB2312"/>
          <w:bCs/>
          <w:sz w:val="24"/>
          <w:szCs w:val="24"/>
          <w:highlight w:val="none"/>
        </w:rPr>
        <w:t xml:space="preserve"> 车辆及车内财物的安全由车主自行负责，车主</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履行必要的注意义务，离车前确保车门锁闭、车窗关闭，因未妥善尽到前述注意义务导致损失的，由车主自行承担。</w:t>
      </w:r>
    </w:p>
    <w:p>
      <w:pPr>
        <w:widowControl/>
        <w:spacing w:line="440" w:lineRule="exact"/>
        <w:ind w:firstLine="480" w:firstLineChars="0"/>
        <w:jc w:val="left"/>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第十九条 </w:t>
      </w:r>
      <w:r>
        <w:rPr>
          <w:rFonts w:hint="eastAsia" w:ascii="仿宋_GB2312" w:hAnsi="仿宋_GB2312" w:eastAsia="仿宋_GB2312" w:cs="仿宋_GB2312"/>
          <w:bCs/>
          <w:sz w:val="24"/>
          <w:szCs w:val="24"/>
          <w:highlight w:val="none"/>
        </w:rPr>
        <w:t>本办法适用本物业项目内行驶、停放的机动车，对全体业主、使用人及外来访客均具有约束力。</w:t>
      </w:r>
    </w:p>
    <w:p>
      <w:pPr>
        <w:pStyle w:val="3"/>
        <w:spacing w:line="440" w:lineRule="exact"/>
        <w:ind w:firstLine="480"/>
        <w:rPr>
          <w:rFonts w:hint="eastAsia" w:ascii="仿宋_GB2312" w:hAnsi="仿宋_GB2312" w:eastAsia="仿宋_GB2312" w:cs="仿宋_GB2312"/>
          <w:highlight w:val="none"/>
        </w:rPr>
      </w:pPr>
      <w:r>
        <w:rPr>
          <w:rFonts w:hint="eastAsia" w:ascii="仿宋_GB2312" w:hAnsi="仿宋_GB2312" w:eastAsia="仿宋_GB2312" w:cs="仿宋_GB2312"/>
          <w:bCs/>
          <w:sz w:val="24"/>
          <w:szCs w:val="24"/>
          <w:highlight w:val="none"/>
        </w:rPr>
        <w:t>业主可以提请</w:t>
      </w:r>
      <w:r>
        <w:rPr>
          <w:rFonts w:hint="eastAsia" w:ascii="仿宋_GB2312" w:hAnsi="仿宋_GB2312" w:eastAsia="仿宋_GB2312" w:cs="仿宋_GB2312"/>
          <w:bCs/>
          <w:sz w:val="24"/>
          <w:szCs w:val="24"/>
          <w:highlight w:val="none"/>
          <w:lang w:eastAsia="zh-CN"/>
        </w:rPr>
        <w:t>业主大会临时会议</w:t>
      </w:r>
      <w:r>
        <w:rPr>
          <w:rFonts w:hint="eastAsia" w:ascii="仿宋_GB2312" w:hAnsi="仿宋_GB2312" w:eastAsia="仿宋_GB2312" w:cs="仿宋_GB2312"/>
          <w:bCs/>
          <w:sz w:val="24"/>
          <w:szCs w:val="24"/>
          <w:highlight w:val="none"/>
        </w:rPr>
        <w:t>对本办法进行修改。</w:t>
      </w:r>
    </w:p>
    <w:p>
      <w:pPr>
        <w:spacing w:line="440" w:lineRule="exact"/>
        <w:ind w:firstLine="0" w:firstLineChars="0"/>
        <w:jc w:val="left"/>
        <w:outlineLvl w:val="0"/>
        <w:rPr>
          <w:rFonts w:hint="eastAsia" w:cs="仿宋_GB2312"/>
          <w:bCs/>
          <w:kern w:val="0"/>
          <w:sz w:val="24"/>
          <w:szCs w:val="24"/>
          <w:highlight w:val="none"/>
        </w:rPr>
      </w:pPr>
      <w:r>
        <w:rPr>
          <w:rFonts w:hint="eastAsia" w:ascii="仿宋_GB2312" w:hAnsi="仿宋_GB2312" w:eastAsia="仿宋_GB2312" w:cs="仿宋_GB2312"/>
          <w:bCs/>
          <w:sz w:val="24"/>
          <w:szCs w:val="24"/>
          <w:highlight w:val="none"/>
        </w:rPr>
        <w:br w:type="page"/>
      </w:r>
      <w:r>
        <w:rPr>
          <w:rFonts w:hint="eastAsia" w:ascii="仿宋_GB2312" w:hAnsi="仿宋_GB2312" w:eastAsia="仿宋_GB2312" w:cs="仿宋_GB2312"/>
          <w:bCs/>
          <w:kern w:val="0"/>
          <w:sz w:val="24"/>
          <w:szCs w:val="24"/>
          <w:highlight w:val="none"/>
        </w:rPr>
        <w:t>附件2</w:t>
      </w:r>
    </w:p>
    <w:p>
      <w:pPr>
        <w:tabs>
          <w:tab w:val="left" w:leader="underscore" w:pos="6930"/>
        </w:tabs>
        <w:spacing w:line="440" w:lineRule="exact"/>
        <w:ind w:firstLine="0" w:firstLineChars="0"/>
        <w:jc w:val="center"/>
        <w:outlineLvl w:val="1"/>
        <w:rPr>
          <w:rFonts w:hint="eastAsia" w:ascii="华文中宋" w:hAnsi="华文中宋" w:eastAsia="华文中宋" w:cs="华文中宋"/>
          <w:b/>
          <w:kern w:val="0"/>
          <w:sz w:val="30"/>
          <w:szCs w:val="30"/>
          <w:highlight w:val="none"/>
        </w:rPr>
      </w:pPr>
      <w:r>
        <w:rPr>
          <w:rFonts w:hint="eastAsia" w:ascii="华文中宋" w:hAnsi="华文中宋" w:eastAsia="华文中宋" w:cs="华文中宋"/>
          <w:b/>
          <w:kern w:val="0"/>
          <w:sz w:val="30"/>
          <w:szCs w:val="30"/>
          <w:highlight w:val="none"/>
        </w:rPr>
        <w:t>承</w:t>
      </w:r>
      <w:r>
        <w:rPr>
          <w:rFonts w:hint="eastAsia" w:ascii="华文中宋" w:hAnsi="华文中宋" w:eastAsia="华文中宋" w:cs="华文中宋"/>
          <w:b/>
          <w:kern w:val="0"/>
          <w:sz w:val="30"/>
          <w:szCs w:val="30"/>
          <w:highlight w:val="none"/>
          <w:lang w:val="en-US" w:eastAsia="zh-CN"/>
        </w:rPr>
        <w:t xml:space="preserve"> </w:t>
      </w:r>
      <w:r>
        <w:rPr>
          <w:rFonts w:hint="eastAsia" w:ascii="华文中宋" w:hAnsi="华文中宋" w:eastAsia="华文中宋" w:cs="华文中宋"/>
          <w:b/>
          <w:kern w:val="0"/>
          <w:sz w:val="30"/>
          <w:szCs w:val="30"/>
          <w:highlight w:val="none"/>
        </w:rPr>
        <w:t>诺</w:t>
      </w:r>
      <w:r>
        <w:rPr>
          <w:rFonts w:hint="eastAsia" w:ascii="华文中宋" w:hAnsi="华文中宋" w:eastAsia="华文中宋" w:cs="华文中宋"/>
          <w:b/>
          <w:kern w:val="0"/>
          <w:sz w:val="30"/>
          <w:szCs w:val="30"/>
          <w:highlight w:val="none"/>
          <w:lang w:val="en-US" w:eastAsia="zh-CN"/>
        </w:rPr>
        <w:t xml:space="preserve"> </w:t>
      </w:r>
      <w:r>
        <w:rPr>
          <w:rFonts w:hint="eastAsia" w:ascii="华文中宋" w:hAnsi="华文中宋" w:eastAsia="华文中宋" w:cs="华文中宋"/>
          <w:b/>
          <w:kern w:val="0"/>
          <w:sz w:val="30"/>
          <w:szCs w:val="30"/>
          <w:highlight w:val="none"/>
        </w:rPr>
        <w:t>书</w:t>
      </w: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本人姓名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 身份证号</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，系</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的买受人。</w:t>
      </w: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为维护本物业项目内全体业主的合法权益，本人声明如下：</w:t>
      </w: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 xml:space="preserve">一、确认已详细阅读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（建设单位全称）制定的</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none"/>
        </w:rPr>
        <w:t>（本</w:t>
      </w:r>
      <w:r>
        <w:rPr>
          <w:rFonts w:hint="eastAsia" w:ascii="仿宋_GB2312" w:hAnsi="仿宋_GB2312" w:eastAsia="仿宋_GB2312" w:cs="仿宋_GB2312"/>
          <w:bCs/>
          <w:sz w:val="24"/>
          <w:szCs w:val="24"/>
          <w:highlight w:val="none"/>
        </w:rPr>
        <w:t>物业项目名称）的《临时管理规约》；</w:t>
      </w: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二、本人承诺遵守本规约；</w:t>
      </w: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三、本人同意承担违反本规约的相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法律责任。</w:t>
      </w:r>
    </w:p>
    <w:p>
      <w:pPr>
        <w:pStyle w:val="3"/>
        <w:spacing w:line="440" w:lineRule="exact"/>
        <w:ind w:firstLine="560"/>
        <w:rPr>
          <w:rFonts w:hint="eastAsia" w:ascii="仿宋_GB2312" w:hAnsi="仿宋_GB2312" w:eastAsia="仿宋_GB2312" w:cs="仿宋_GB2312"/>
          <w:highlight w:val="none"/>
        </w:rPr>
      </w:pP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 xml:space="preserve">                                     承诺人（签章）：</w:t>
      </w: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 xml:space="preserve">                                                   年    月    日</w:t>
      </w:r>
    </w:p>
    <w:p>
      <w:pPr>
        <w:spacing w:line="440" w:lineRule="exact"/>
        <w:ind w:firstLine="480"/>
        <w:jc w:val="left"/>
        <w:rPr>
          <w:rFonts w:hint="eastAsia" w:ascii="仿宋_GB2312" w:hAnsi="仿宋_GB2312" w:eastAsia="仿宋_GB2312" w:cs="仿宋_GB2312"/>
          <w:bCs/>
          <w:sz w:val="24"/>
          <w:szCs w:val="24"/>
          <w:highlight w:val="none"/>
        </w:rPr>
      </w:pPr>
    </w:p>
    <w:p>
      <w:pPr>
        <w:spacing w:line="440" w:lineRule="exact"/>
        <w:ind w:firstLine="480"/>
        <w:jc w:val="left"/>
        <w:rPr>
          <w:rFonts w:hint="eastAsia" w:ascii="仿宋_GB2312" w:hAnsi="仿宋_GB2312" w:eastAsia="仿宋_GB2312" w:cs="仿宋_GB2312"/>
          <w:bCs/>
          <w:sz w:val="24"/>
          <w:szCs w:val="24"/>
          <w:highlight w:val="none"/>
        </w:rPr>
      </w:pPr>
    </w:p>
    <w:p>
      <w:pPr>
        <w:spacing w:line="440" w:lineRule="exact"/>
        <w:ind w:firstLine="480"/>
        <w:jc w:val="left"/>
        <w:rPr>
          <w:rFonts w:hint="eastAsia" w:ascii="仿宋_GB2312" w:hAnsi="仿宋_GB2312" w:eastAsia="仿宋_GB2312"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ind w:firstLine="480"/>
        <w:jc w:val="left"/>
        <w:rPr>
          <w:rFonts w:hint="eastAsia" w:cs="仿宋_GB2312"/>
          <w:bCs/>
          <w:sz w:val="24"/>
          <w:szCs w:val="24"/>
          <w:highlight w:val="none"/>
        </w:rPr>
      </w:pPr>
    </w:p>
    <w:p>
      <w:pPr>
        <w:spacing w:line="440" w:lineRule="exact"/>
        <w:jc w:val="left"/>
        <w:rPr>
          <w:rFonts w:hint="eastAsia" w:cs="仿宋_GB2312"/>
          <w:bCs/>
          <w:sz w:val="24"/>
          <w:szCs w:val="24"/>
          <w:highlight w:val="none"/>
        </w:rPr>
      </w:pP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Adobe 仿宋 Std R">
    <w:altName w:val="仿宋"/>
    <w:panose1 w:val="00000000000000000000"/>
    <w:charset w:val="00"/>
    <w:family w:val="auto"/>
    <w:pitch w:val="default"/>
    <w:sig w:usb0="00000000" w:usb1="00000000" w:usb2="00000016" w:usb3="00000000" w:csb0="00060007" w:csb1="00000000"/>
  </w:font>
  <w:font w:name="国标黑体">
    <w:altName w:val="黑体"/>
    <w:panose1 w:val="02000500000000000000"/>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BCDF23"/>
    <w:multiLevelType w:val="singleLevel"/>
    <w:tmpl w:val="CFBCDF2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8E3866"/>
    <w:rsid w:val="128E3866"/>
    <w:rsid w:val="71DD4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line="278" w:lineRule="auto"/>
      <w:jc w:val="center"/>
    </w:pPr>
    <w:rPr>
      <w:rFonts w:ascii="楷体" w:hAnsi="楷体" w:eastAsia="楷体"/>
      <w:sz w:val="32"/>
      <w:szCs w:val="32"/>
    </w:rPr>
  </w:style>
  <w:style w:type="paragraph" w:styleId="3">
    <w:name w:val="Body Text"/>
    <w:basedOn w:val="1"/>
    <w:qFormat/>
    <w:uiPriority w:val="1"/>
    <w:rPr>
      <w:rFonts w:ascii="宋体" w:hAnsi="宋体" w:cs="宋体"/>
      <w:szCs w:val="21"/>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Strong"/>
    <w:qFormat/>
    <w:uiPriority w:val="0"/>
    <w:rPr>
      <w:b/>
    </w:rPr>
  </w:style>
  <w:style w:type="paragraph" w:styleId="9">
    <w:name w:val="List Paragraph"/>
    <w:basedOn w:val="1"/>
    <w:qFormat/>
    <w:uiPriority w:val="99"/>
    <w:pPr>
      <w:ind w:firstLine="420"/>
    </w:pPr>
  </w:style>
  <w:style w:type="paragraph" w:customStyle="1" w:styleId="10">
    <w:name w:val="Default"/>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2026-09-17T06:55:00Z</dcterms:created>
  <dc:creator>宁静致远i</dc:creator>
  <cp:lastModifiedBy>宁静致远i</cp:lastModifiedBy>
  <dcterms:modified xsi:type="dcterms:W3CDTF">2026-09-17T08:44:13Z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