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hint="eastAsia" w:ascii="宋体" w:hAnsi="宋体" w:eastAsia="宋体" w:cs="宋体"/>
                <w:color w:val="000000"/>
                <w:kern w:val="0"/>
                <w:sz w:val="28"/>
                <w:szCs w:val="28"/>
                <w:lang w:val="en-US" w:eastAsia="zh-CN"/>
              </w:rPr>
              <w:t>24</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eastAsia="zh-CN"/>
              </w:rPr>
              <w:t>一季度</w:t>
            </w:r>
          </w:p>
        </w:tc>
      </w:tr>
      <w:tr>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24640</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25781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14557</w:t>
            </w:r>
          </w:p>
        </w:tc>
      </w:tr>
      <w:tr>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13671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14249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8560</w:t>
            </w:r>
          </w:p>
        </w:tc>
      </w:tr>
      <w:tr>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4.7</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7.3</w:t>
            </w:r>
          </w:p>
        </w:tc>
      </w:tr>
      <w:tr>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5.3</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4.7</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14.1</w:t>
            </w:r>
            <w:bookmarkStart w:id="0" w:name="_GoBack"/>
            <w:bookmarkEnd w:id="0"/>
          </w:p>
        </w:tc>
      </w:tr>
      <w:tr>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rPr>
          <w:trHeight w:val="8190" w:hRule="atLeast"/>
        </w:trPr>
        <w:tc>
          <w:tcPr>
            <w:tcW w:w="8860" w:type="dxa"/>
            <w:gridSpan w:val="4"/>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93B3CF05"/>
    <w:rsid w:val="EECF29AC"/>
    <w:rsid w:val="F64E606B"/>
    <w:rsid w:val="FCFBD6E2"/>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46</TotalTime>
  <ScaleCrop>false</ScaleCrop>
  <LinksUpToDate>false</LinksUpToDate>
  <CharactersWithSpaces>964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2022-07-16T07:15:00Z</dcterms:created>
  <dc:creator>chengss</dc:creator>
  <cp:lastModifiedBy>kylin</cp:lastModifiedBy>
  <cp:lastPrinted>2018-07-21T01:17:00Z</cp:lastPrinted>
  <dcterms:modified xsi:type="dcterms:W3CDTF">2024-04-16T09:52:28Z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