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641" w:firstLine="0" w:firstLineChars="0"/>
        <w:jc w:val="left"/>
        <w:rPr>
          <w:rFonts w:hint="eastAsia" w:ascii="黑体" w:hAnsi="黑体" w:eastAsia="黑体" w:cs="黑体"/>
          <w:b w:val="0"/>
          <w:bCs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pacing w:val="-6"/>
          <w:kern w:val="2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华文中宋" w:hAnsi="华文中宋" w:eastAsia="华文中宋" w:cs="Times New Roman"/>
          <w:b/>
          <w:kern w:val="2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spacing w:val="-6"/>
          <w:kern w:val="2"/>
          <w:sz w:val="32"/>
          <w:szCs w:val="32"/>
          <w:lang w:val="en-US" w:eastAsia="zh-CN" w:bidi="ar"/>
        </w:rPr>
        <w:t>天然气发电机组上网电价调价表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440" w:firstLine="0" w:firstLineChars="0"/>
        <w:jc w:val="right"/>
        <w:rPr>
          <w:rFonts w:hint="eastAsia" w:ascii="楷体_GB2312" w:hAnsi="Times New Roman" w:eastAsia="楷体_GB2312" w:cs="Times New Roman"/>
          <w:b/>
          <w:kern w:val="2"/>
          <w:sz w:val="22"/>
          <w:szCs w:val="22"/>
        </w:rPr>
      </w:pPr>
      <w:r>
        <w:rPr>
          <w:rFonts w:hint="eastAsia" w:ascii="楷体_GB2312" w:hAnsi="宋体" w:eastAsia="楷体_GB2312" w:cs="楷体_GB2312"/>
          <w:spacing w:val="-6"/>
          <w:kern w:val="2"/>
          <w:sz w:val="22"/>
          <w:szCs w:val="22"/>
          <w:lang w:val="en-US" w:eastAsia="zh-CN" w:bidi="ar"/>
        </w:rPr>
        <w:t>单位：元</w:t>
      </w:r>
      <w:r>
        <w:rPr>
          <w:rFonts w:hint="eastAsia" w:ascii="楷体_GB2312" w:hAnsi="Times New Roman" w:eastAsia="楷体_GB2312" w:cs="楷体_GB2312"/>
          <w:spacing w:val="-6"/>
          <w:kern w:val="2"/>
          <w:sz w:val="22"/>
          <w:szCs w:val="22"/>
          <w:lang w:val="en-US" w:eastAsia="zh-CN" w:bidi="ar"/>
        </w:rPr>
        <w:t>/</w:t>
      </w:r>
      <w:r>
        <w:rPr>
          <w:rFonts w:hint="eastAsia" w:ascii="楷体_GB2312" w:hAnsi="宋体" w:eastAsia="楷体_GB2312" w:cs="楷体_GB2312"/>
          <w:spacing w:val="-6"/>
          <w:kern w:val="2"/>
          <w:sz w:val="22"/>
          <w:szCs w:val="22"/>
          <w:lang w:val="en-US" w:eastAsia="zh-CN" w:bidi="ar"/>
        </w:rPr>
        <w:t>月</w:t>
      </w:r>
      <w:r>
        <w:rPr>
          <w:rFonts w:hint="eastAsia" w:ascii="楷体_GB2312" w:hAnsi="Times New Roman" w:eastAsia="楷体_GB2312" w:cs="楷体_GB2312"/>
          <w:spacing w:val="-6"/>
          <w:kern w:val="2"/>
          <w:sz w:val="22"/>
          <w:szCs w:val="22"/>
          <w:lang w:val="en-US" w:eastAsia="zh-CN" w:bidi="ar"/>
        </w:rPr>
        <w:t>·</w:t>
      </w:r>
      <w:r>
        <w:rPr>
          <w:rFonts w:hint="eastAsia" w:ascii="楷体_GB2312" w:hAnsi="宋体" w:eastAsia="楷体_GB2312" w:cs="楷体_GB2312"/>
          <w:spacing w:val="-6"/>
          <w:kern w:val="2"/>
          <w:sz w:val="22"/>
          <w:szCs w:val="22"/>
          <w:lang w:val="en-US" w:eastAsia="zh-CN" w:bidi="ar"/>
        </w:rPr>
        <w:t>千瓦，元</w:t>
      </w:r>
      <w:r>
        <w:rPr>
          <w:rFonts w:hint="eastAsia" w:ascii="楷体_GB2312" w:hAnsi="Times New Roman" w:eastAsia="楷体_GB2312" w:cs="楷体_GB2312"/>
          <w:spacing w:val="-6"/>
          <w:kern w:val="2"/>
          <w:sz w:val="22"/>
          <w:szCs w:val="22"/>
          <w:lang w:val="en-US" w:eastAsia="zh-CN" w:bidi="ar"/>
        </w:rPr>
        <w:t>/</w:t>
      </w:r>
      <w:r>
        <w:rPr>
          <w:rFonts w:hint="eastAsia" w:ascii="楷体_GB2312" w:hAnsi="宋体" w:eastAsia="楷体_GB2312" w:cs="楷体_GB2312"/>
          <w:spacing w:val="-6"/>
          <w:kern w:val="2"/>
          <w:sz w:val="22"/>
          <w:szCs w:val="22"/>
          <w:lang w:val="en-US" w:eastAsia="zh-CN" w:bidi="ar"/>
        </w:rPr>
        <w:t>千瓦时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机组类型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电价类别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电价标准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调峰机组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容量电价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37.01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电量电价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热电联产机组（含小型背压式机组）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容量电价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36.50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电量电价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2500</w:t>
            </w: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（含）小时内：</w:t>
            </w: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0.5142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2500</w:t>
            </w: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（不含）</w:t>
            </w: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-5000</w:t>
            </w: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（含）小时内：</w:t>
            </w: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0.4338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5000</w:t>
            </w: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小时以上：</w:t>
            </w: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0.4155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分布式机组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spacing w:val="-6"/>
                <w:kern w:val="2"/>
                <w:sz w:val="24"/>
                <w:szCs w:val="24"/>
                <w:lang w:val="en-US" w:eastAsia="zh-CN" w:bidi="ar"/>
              </w:rPr>
              <w:t>电量电价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0.7971</w:t>
            </w:r>
          </w:p>
        </w:tc>
      </w:tr>
    </w:tbl>
    <w:p>
      <w:r>
        <w:rPr>
          <w:rFonts w:hint="eastAsia" w:ascii="楷体_GB2312" w:hAnsi="Calibri" w:eastAsia="楷体_GB2312" w:cs="楷体_GB2312"/>
          <w:b w:val="0"/>
          <w:spacing w:val="-6"/>
          <w:kern w:val="2"/>
          <w:sz w:val="24"/>
          <w:szCs w:val="24"/>
          <w:lang w:val="en-US" w:eastAsia="zh-CN" w:bidi="ar"/>
        </w:rPr>
        <w:t>注：9E调峰机组发电利用小时300（含）以内，电量电价每千瓦时增加0.15元。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36D20"/>
    <w:rsid w:val="6763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2021-04-28T07:43:00Z</dcterms:created>
  <dc:creator>Administrator</dc:creator>
  <cp:lastModifiedBy>Administrator</cp:lastModifiedBy>
  <dcterms:modified xsi:type="dcterms:W3CDTF">2021-04-28T07:43:44Z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DEB6A11328DE40AEADB33EFCE3620BF5</vt:lpwstr>
  </property>
</Properties>
</file>