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2024年度上海市工业互联网标杆平台名单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</w:p>
    <w:tbl>
      <w:tblPr>
        <w:tblStyle w:val="2"/>
        <w:tblW w:w="550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4269"/>
        <w:gridCol w:w="4190"/>
      </w:tblGrid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工业互联网标杆平台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平台企业</w:t>
            </w:r>
          </w:p>
        </w:tc>
      </w:tr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“飞梭智纺”纺织工业互联网平台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上海致景信息科技有限公司</w:t>
            </w:r>
          </w:p>
        </w:tc>
      </w:tr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宝联登xIn³Plat工业互联网平台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上海宝信软件股份有限公司</w:t>
            </w:r>
          </w:p>
        </w:tc>
      </w:tr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“星云智汇”工业互联网平台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上海电气集团数字科技有限公司</w:t>
            </w:r>
          </w:p>
        </w:tc>
      </w:tr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延锋工业互联网平台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上海延锋金桥饰件系统有限公司</w:t>
            </w:r>
          </w:p>
        </w:tc>
      </w:tr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外高桥船舶行业工业互联网平台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上海外高桥造船有限公司</w:t>
            </w:r>
          </w:p>
        </w:tc>
      </w:tr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船舶动力系统设备全生命周期运行维护平台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中国船舶重工集团公司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第七一一研究所</w:t>
            </w:r>
          </w:p>
        </w:tc>
      </w:tr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国网上海电力工业互联网平台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国网上海市电力公司</w:t>
            </w:r>
          </w:p>
        </w:tc>
      </w:tr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零碳绿色工厂综合数智化管理平台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上海碳索能源服务股份有限公司</w:t>
            </w:r>
          </w:p>
        </w:tc>
      </w:tr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智慧核电产业链协同工业互联网平台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上海核工程研究设计院股份有限公司</w:t>
            </w:r>
          </w:p>
        </w:tc>
      </w:tr>
      <w:tr>
        <w:trPr>
          <w:trHeight w:val="590" w:hRule="atLeast"/>
          <w:jc w:val="center"/>
        </w:trPr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欧冶云商智慧服务平台</w:t>
            </w:r>
          </w:p>
        </w:tc>
        <w:tc>
          <w:tcPr>
            <w:tcW w:w="2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欧冶云商股份有限公司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E5D4"/>
    <w:rsid w:val="FFF7E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2024-12-25T16:59:00Z</dcterms:created>
  <dc:creator>吴莹露</dc:creator>
  <cp:lastModifiedBy>吴莹露</cp:lastModifiedBy>
  <dcterms:modified xsi:type="dcterms:W3CDTF">2024-12-25T16:59:59Z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532F8F5D6CF88C4878C96B67BD4A29FC_41</vt:lpwstr>
  </property>
</Properties>
</file>