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0" w:type="auto"/>
        <w:jc w:val="center"/>
        <w:tblLayout w:type="fixed"/>
        <w:tblCellMar>
          <w:top w:w="0" w:type="dxa"/>
          <w:left w:w="108" w:type="dxa"/>
          <w:bottom w:w="0" w:type="dxa"/>
          <w:right w:w="108" w:type="dxa"/>
        </w:tblCellMar>
      </w:tblPr>
      <w:tblGrid>
        <w:gridCol w:w="664"/>
        <w:gridCol w:w="1556"/>
        <w:gridCol w:w="1684"/>
        <w:gridCol w:w="4672"/>
        <w:gridCol w:w="1976"/>
        <w:gridCol w:w="5387"/>
      </w:tblGrid>
      <w:tr>
        <w:tblPrEx>
          <w:tblCellMar>
            <w:top w:w="0" w:type="dxa"/>
            <w:left w:w="108" w:type="dxa"/>
            <w:bottom w:w="0" w:type="dxa"/>
            <w:right w:w="108" w:type="dxa"/>
          </w:tblCellMar>
        </w:tblPrEx>
        <w:trPr>
          <w:trHeight w:val="1552" w:hRule="atLeast"/>
          <w:jc w:val="center"/>
        </w:trPr>
        <w:tc>
          <w:tcPr>
            <w:tcW w:w="15939" w:type="dxa"/>
            <w:gridSpan w:val="6"/>
            <w:tcBorders>
              <w:top w:val="nil"/>
              <w:left w:val="nil"/>
              <w:bottom w:val="single" w:color="auto" w:sz="8" w:space="0"/>
              <w:right w:val="nil"/>
            </w:tcBorders>
            <w:noWrap w:val="0"/>
            <w:vAlign w:val="center"/>
          </w:tcPr>
          <w:p>
            <w:pPr>
              <w:spacing w:before="289" w:beforeLines="50" w:after="289" w:afterLines="50" w:line="400" w:lineRule="exact"/>
              <w:rPr>
                <w:rFonts w:hint="eastAsia" w:eastAsia="黑体"/>
                <w:spacing w:val="0"/>
                <w:sz w:val="30"/>
                <w:szCs w:val="30"/>
                <w:lang w:val="en-US" w:eastAsia="zh-CN"/>
              </w:rPr>
            </w:pPr>
            <w:r>
              <w:rPr>
                <w:rFonts w:eastAsia="黑体"/>
                <w:spacing w:val="0"/>
                <w:sz w:val="30"/>
                <w:szCs w:val="30"/>
              </w:rPr>
              <w:t>附  表：</w:t>
            </w:r>
            <w:r>
              <w:rPr>
                <w:rFonts w:hint="eastAsia" w:eastAsia="黑体"/>
                <w:spacing w:val="0"/>
                <w:sz w:val="30"/>
                <w:szCs w:val="30"/>
                <w:lang w:val="en-US" w:eastAsia="zh-CN"/>
              </w:rPr>
              <w:t xml:space="preserve">            </w:t>
            </w:r>
          </w:p>
          <w:p>
            <w:pPr>
              <w:spacing w:before="289" w:beforeLines="50" w:after="289" w:afterLines="50" w:line="400" w:lineRule="exact"/>
              <w:jc w:val="center"/>
              <w:rPr>
                <w:rFonts w:eastAsia="黑体"/>
                <w:spacing w:val="0"/>
                <w:sz w:val="30"/>
                <w:szCs w:val="30"/>
              </w:rPr>
            </w:pPr>
            <w:bookmarkStart w:id="0" w:name="_GoBack"/>
            <w:r>
              <w:rPr>
                <w:rFonts w:hAnsi="华文中宋" w:eastAsia="华文中宋"/>
                <w:b/>
                <w:bCs/>
                <w:color w:val="000000"/>
                <w:spacing w:val="0"/>
                <w:sz w:val="36"/>
                <w:szCs w:val="36"/>
              </w:rPr>
              <w:t>上海市</w:t>
            </w:r>
            <w:r>
              <w:rPr>
                <w:rFonts w:eastAsia="华文中宋"/>
                <w:b/>
                <w:bCs/>
                <w:color w:val="000000"/>
                <w:spacing w:val="0"/>
                <w:sz w:val="36"/>
                <w:szCs w:val="36"/>
              </w:rPr>
              <w:t>2020</w:t>
            </w:r>
            <w:r>
              <w:rPr>
                <w:rFonts w:hAnsi="华文中宋" w:eastAsia="华文中宋"/>
                <w:b/>
                <w:bCs/>
                <w:color w:val="000000"/>
                <w:spacing w:val="0"/>
                <w:sz w:val="36"/>
                <w:szCs w:val="36"/>
              </w:rPr>
              <w:t>年节能减排专项资金安排计划（第</w:t>
            </w:r>
            <w:r>
              <w:rPr>
                <w:rFonts w:hint="eastAsia" w:hAnsi="华文中宋" w:eastAsia="华文中宋"/>
                <w:b/>
                <w:bCs/>
                <w:color w:val="000000"/>
                <w:spacing w:val="0"/>
                <w:sz w:val="36"/>
                <w:szCs w:val="36"/>
                <w:lang w:eastAsia="zh-CN"/>
              </w:rPr>
              <w:t>十三</w:t>
            </w:r>
            <w:r>
              <w:rPr>
                <w:rFonts w:hAnsi="华文中宋" w:eastAsia="华文中宋"/>
                <w:b/>
                <w:bCs/>
                <w:color w:val="000000"/>
                <w:spacing w:val="0"/>
                <w:sz w:val="36"/>
                <w:szCs w:val="36"/>
              </w:rPr>
              <w:t>批）</w:t>
            </w:r>
            <w:bookmarkEnd w:id="0"/>
          </w:p>
        </w:tc>
      </w:tr>
      <w:tr>
        <w:tblPrEx>
          <w:tblCellMar>
            <w:top w:w="0" w:type="dxa"/>
            <w:left w:w="108" w:type="dxa"/>
            <w:bottom w:w="0" w:type="dxa"/>
            <w:right w:w="108" w:type="dxa"/>
          </w:tblCellMar>
        </w:tblPrEx>
        <w:trPr>
          <w:trHeight w:val="439" w:hRule="atLeast"/>
          <w:jc w:val="center"/>
        </w:trPr>
        <w:tc>
          <w:tcPr>
            <w:tcW w:w="664" w:type="dxa"/>
            <w:tcBorders>
              <w:top w:val="nil"/>
              <w:left w:val="single" w:color="auto" w:sz="8" w:space="0"/>
              <w:bottom w:val="single" w:color="auto" w:sz="4" w:space="0"/>
              <w:right w:val="single" w:color="auto" w:sz="4" w:space="0"/>
            </w:tcBorders>
            <w:noWrap w:val="0"/>
            <w:vAlign w:val="center"/>
          </w:tcPr>
          <w:p>
            <w:pPr>
              <w:spacing w:line="300" w:lineRule="exact"/>
              <w:jc w:val="center"/>
              <w:rPr>
                <w:rFonts w:eastAsia="楷体_GB2312"/>
                <w:b/>
                <w:color w:val="000000"/>
                <w:spacing w:val="0"/>
                <w:sz w:val="21"/>
              </w:rPr>
            </w:pPr>
            <w:r>
              <w:rPr>
                <w:rFonts w:eastAsia="楷体_GB2312"/>
                <w:b/>
                <w:color w:val="000000"/>
                <w:spacing w:val="0"/>
                <w:sz w:val="21"/>
              </w:rPr>
              <w:t>序号</w:t>
            </w:r>
          </w:p>
        </w:tc>
        <w:tc>
          <w:tcPr>
            <w:tcW w:w="1556" w:type="dxa"/>
            <w:tcBorders>
              <w:top w:val="nil"/>
              <w:left w:val="nil"/>
              <w:bottom w:val="single" w:color="auto" w:sz="4" w:space="0"/>
              <w:right w:val="single" w:color="auto" w:sz="4" w:space="0"/>
            </w:tcBorders>
            <w:noWrap w:val="0"/>
            <w:vAlign w:val="center"/>
          </w:tcPr>
          <w:p>
            <w:pPr>
              <w:spacing w:line="300" w:lineRule="exact"/>
              <w:jc w:val="center"/>
              <w:rPr>
                <w:rFonts w:eastAsia="楷体_GB2312"/>
                <w:b/>
                <w:color w:val="000000"/>
                <w:spacing w:val="0"/>
                <w:sz w:val="21"/>
              </w:rPr>
            </w:pPr>
            <w:r>
              <w:rPr>
                <w:rFonts w:eastAsia="楷体_GB2312"/>
                <w:b/>
                <w:color w:val="000000"/>
                <w:spacing w:val="0"/>
                <w:sz w:val="21"/>
              </w:rPr>
              <w:t>支持方向</w:t>
            </w:r>
          </w:p>
        </w:tc>
        <w:tc>
          <w:tcPr>
            <w:tcW w:w="1684" w:type="dxa"/>
            <w:tcBorders>
              <w:top w:val="nil"/>
              <w:left w:val="nil"/>
              <w:bottom w:val="single" w:color="auto" w:sz="4" w:space="0"/>
              <w:right w:val="single" w:color="auto" w:sz="4" w:space="0"/>
            </w:tcBorders>
            <w:noWrap w:val="0"/>
            <w:vAlign w:val="center"/>
          </w:tcPr>
          <w:p>
            <w:pPr>
              <w:spacing w:line="300" w:lineRule="exact"/>
              <w:jc w:val="center"/>
              <w:rPr>
                <w:rFonts w:eastAsia="楷体_GB2312"/>
                <w:b/>
                <w:color w:val="000000"/>
                <w:spacing w:val="0"/>
                <w:sz w:val="21"/>
              </w:rPr>
            </w:pPr>
            <w:r>
              <w:rPr>
                <w:rFonts w:eastAsia="楷体_GB2312"/>
                <w:b/>
                <w:color w:val="000000"/>
                <w:spacing w:val="0"/>
                <w:sz w:val="21"/>
              </w:rPr>
              <w:t>金额</w:t>
            </w:r>
          </w:p>
          <w:p>
            <w:pPr>
              <w:spacing w:line="300" w:lineRule="exact"/>
              <w:jc w:val="center"/>
              <w:rPr>
                <w:rFonts w:eastAsia="楷体_GB2312"/>
                <w:b/>
                <w:color w:val="000000"/>
                <w:spacing w:val="0"/>
                <w:sz w:val="21"/>
              </w:rPr>
            </w:pPr>
            <w:r>
              <w:rPr>
                <w:rFonts w:eastAsia="楷体_GB2312"/>
                <w:b/>
                <w:color w:val="000000"/>
                <w:spacing w:val="0"/>
                <w:sz w:val="21"/>
              </w:rPr>
              <w:t>（万元）</w:t>
            </w:r>
          </w:p>
        </w:tc>
        <w:tc>
          <w:tcPr>
            <w:tcW w:w="4672" w:type="dxa"/>
            <w:tcBorders>
              <w:top w:val="nil"/>
              <w:left w:val="nil"/>
              <w:bottom w:val="single" w:color="auto" w:sz="4" w:space="0"/>
              <w:right w:val="single" w:color="auto" w:sz="4" w:space="0"/>
            </w:tcBorders>
            <w:noWrap w:val="0"/>
            <w:vAlign w:val="center"/>
          </w:tcPr>
          <w:p>
            <w:pPr>
              <w:spacing w:line="300" w:lineRule="exact"/>
              <w:jc w:val="center"/>
              <w:rPr>
                <w:rFonts w:eastAsia="楷体_GB2312"/>
                <w:b/>
                <w:color w:val="000000"/>
                <w:spacing w:val="0"/>
                <w:sz w:val="21"/>
              </w:rPr>
            </w:pPr>
            <w:r>
              <w:rPr>
                <w:rFonts w:eastAsia="楷体_GB2312"/>
                <w:b/>
                <w:color w:val="000000"/>
                <w:spacing w:val="0"/>
                <w:sz w:val="21"/>
              </w:rPr>
              <w:t>具体支持内容</w:t>
            </w:r>
          </w:p>
        </w:tc>
        <w:tc>
          <w:tcPr>
            <w:tcW w:w="1976" w:type="dxa"/>
            <w:tcBorders>
              <w:top w:val="nil"/>
              <w:left w:val="nil"/>
              <w:bottom w:val="single" w:color="auto" w:sz="4" w:space="0"/>
              <w:right w:val="single" w:color="auto" w:sz="4" w:space="0"/>
            </w:tcBorders>
            <w:noWrap w:val="0"/>
            <w:vAlign w:val="center"/>
          </w:tcPr>
          <w:p>
            <w:pPr>
              <w:spacing w:line="300" w:lineRule="exact"/>
              <w:jc w:val="center"/>
              <w:rPr>
                <w:rFonts w:eastAsia="楷体_GB2312"/>
                <w:b/>
                <w:color w:val="000000"/>
                <w:spacing w:val="0"/>
                <w:sz w:val="21"/>
              </w:rPr>
            </w:pPr>
            <w:r>
              <w:rPr>
                <w:rFonts w:eastAsia="楷体_GB2312"/>
                <w:b/>
                <w:color w:val="000000"/>
                <w:spacing w:val="0"/>
                <w:sz w:val="21"/>
              </w:rPr>
              <w:t>负责部门</w:t>
            </w:r>
          </w:p>
        </w:tc>
        <w:tc>
          <w:tcPr>
            <w:tcW w:w="5387" w:type="dxa"/>
            <w:tcBorders>
              <w:top w:val="nil"/>
              <w:left w:val="nil"/>
              <w:bottom w:val="single" w:color="auto" w:sz="4" w:space="0"/>
              <w:right w:val="single" w:color="auto" w:sz="8" w:space="0"/>
            </w:tcBorders>
            <w:noWrap w:val="0"/>
            <w:vAlign w:val="center"/>
          </w:tcPr>
          <w:p>
            <w:pPr>
              <w:spacing w:line="300" w:lineRule="exact"/>
              <w:jc w:val="center"/>
              <w:rPr>
                <w:rFonts w:eastAsia="楷体_GB2312"/>
                <w:color w:val="000000"/>
                <w:spacing w:val="0"/>
                <w:sz w:val="21"/>
                <w:szCs w:val="21"/>
              </w:rPr>
            </w:pPr>
            <w:r>
              <w:rPr>
                <w:rFonts w:eastAsia="楷体_GB2312"/>
                <w:b/>
                <w:bCs/>
                <w:color w:val="000000"/>
                <w:spacing w:val="0"/>
                <w:sz w:val="21"/>
                <w:szCs w:val="21"/>
              </w:rPr>
              <w:t>使用依据</w:t>
            </w:r>
          </w:p>
        </w:tc>
      </w:tr>
      <w:tr>
        <w:tblPrEx>
          <w:tblCellMar>
            <w:top w:w="0" w:type="dxa"/>
            <w:left w:w="108" w:type="dxa"/>
            <w:bottom w:w="0" w:type="dxa"/>
            <w:right w:w="108" w:type="dxa"/>
          </w:tblCellMar>
        </w:tblPrEx>
        <w:trPr>
          <w:trHeight w:val="713" w:hRule="atLeast"/>
          <w:jc w:val="center"/>
        </w:trPr>
        <w:tc>
          <w:tcPr>
            <w:tcW w:w="664" w:type="dxa"/>
            <w:tcBorders>
              <w:top w:val="nil"/>
              <w:left w:val="single" w:color="auto" w:sz="8"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1</w:t>
            </w:r>
          </w:p>
        </w:tc>
        <w:tc>
          <w:tcPr>
            <w:tcW w:w="1556" w:type="dxa"/>
            <w:tcBorders>
              <w:top w:val="nil"/>
              <w:left w:val="nil"/>
              <w:bottom w:val="single" w:color="auto" w:sz="4" w:space="0"/>
              <w:right w:val="single" w:color="auto" w:sz="4" w:space="0"/>
            </w:tcBorders>
            <w:noWrap w:val="0"/>
            <w:vAlign w:val="center"/>
          </w:tcPr>
          <w:p>
            <w:pPr>
              <w:spacing w:line="300" w:lineRule="exac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eastAsia="zh-CN"/>
              </w:rPr>
              <w:t>老旧汽车更新报废</w:t>
            </w:r>
          </w:p>
        </w:tc>
        <w:tc>
          <w:tcPr>
            <w:tcW w:w="168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2281.6</w:t>
            </w:r>
          </w:p>
        </w:tc>
        <w:tc>
          <w:tcPr>
            <w:tcW w:w="4672" w:type="dxa"/>
            <w:tcBorders>
              <w:top w:val="nil"/>
              <w:left w:val="nil"/>
              <w:bottom w:val="single" w:color="auto" w:sz="4" w:space="0"/>
              <w:right w:val="single" w:color="auto" w:sz="4" w:space="0"/>
            </w:tcBorders>
            <w:noWrap w:val="0"/>
            <w:vAlign w:val="center"/>
          </w:tcPr>
          <w:p>
            <w:pPr>
              <w:spacing w:line="300" w:lineRule="exac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 xml:space="preserve">    </w:t>
            </w:r>
            <w:r>
              <w:rPr>
                <w:rFonts w:hint="eastAsia" w:ascii="Times New Roman" w:hAnsi="Times New Roman" w:eastAsia="楷体_GB2312" w:cs="Times New Roman"/>
                <w:color w:val="000000"/>
                <w:spacing w:val="0"/>
                <w:sz w:val="21"/>
                <w:szCs w:val="21"/>
                <w:lang w:eastAsia="zh-CN"/>
              </w:rPr>
              <w:t>安排经审核通过的</w:t>
            </w:r>
            <w:r>
              <w:rPr>
                <w:rFonts w:hint="eastAsia" w:ascii="Times New Roman" w:hAnsi="Times New Roman" w:eastAsia="楷体_GB2312" w:cs="Times New Roman"/>
                <w:color w:val="000000"/>
                <w:spacing w:val="0"/>
                <w:sz w:val="21"/>
                <w:szCs w:val="21"/>
                <w:lang w:val="en-US" w:eastAsia="zh-CN"/>
              </w:rPr>
              <w:t>5704</w:t>
            </w:r>
            <w:r>
              <w:rPr>
                <w:rFonts w:hint="eastAsia" w:ascii="Times New Roman" w:hAnsi="Times New Roman" w:eastAsia="楷体_GB2312" w:cs="Times New Roman"/>
                <w:color w:val="000000"/>
                <w:spacing w:val="0"/>
                <w:sz w:val="21"/>
                <w:szCs w:val="21"/>
                <w:lang w:eastAsia="zh-CN"/>
              </w:rPr>
              <w:t>辆（第六、七批）老旧汽车报废更新补贴资金</w:t>
            </w:r>
            <w:r>
              <w:rPr>
                <w:rFonts w:hint="eastAsia" w:ascii="Times New Roman" w:hAnsi="Times New Roman" w:eastAsia="楷体_GB2312" w:cs="Times New Roman"/>
                <w:color w:val="000000"/>
                <w:spacing w:val="0"/>
                <w:sz w:val="21"/>
                <w:szCs w:val="21"/>
                <w:lang w:val="en-US" w:eastAsia="zh-CN"/>
              </w:rPr>
              <w:t>2281.6</w:t>
            </w:r>
            <w:r>
              <w:rPr>
                <w:rFonts w:hint="eastAsia" w:ascii="Times New Roman" w:hAnsi="Times New Roman" w:eastAsia="楷体_GB2312" w:cs="Times New Roman"/>
                <w:color w:val="000000"/>
                <w:spacing w:val="0"/>
                <w:sz w:val="21"/>
                <w:szCs w:val="21"/>
                <w:lang w:eastAsia="zh-CN"/>
              </w:rPr>
              <w:t>万元。</w:t>
            </w:r>
          </w:p>
        </w:tc>
        <w:tc>
          <w:tcPr>
            <w:tcW w:w="1976" w:type="dxa"/>
            <w:tcBorders>
              <w:top w:val="nil"/>
              <w:left w:val="nil"/>
              <w:bottom w:val="single" w:color="auto" w:sz="4" w:space="0"/>
              <w:right w:val="single" w:color="auto" w:sz="4" w:space="0"/>
            </w:tcBorders>
            <w:noWrap w:val="0"/>
            <w:vAlign w:val="center"/>
          </w:tcPr>
          <w:p>
            <w:pPr>
              <w:spacing w:line="300" w:lineRule="exac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eastAsia="zh-CN"/>
              </w:rPr>
              <w:t>市商务委</w:t>
            </w:r>
          </w:p>
        </w:tc>
        <w:tc>
          <w:tcPr>
            <w:tcW w:w="5387" w:type="dxa"/>
            <w:tcBorders>
              <w:top w:val="nil"/>
              <w:left w:val="nil"/>
              <w:bottom w:val="single" w:color="auto" w:sz="4" w:space="0"/>
              <w:right w:val="single" w:color="auto" w:sz="8" w:space="0"/>
            </w:tcBorders>
            <w:noWrap w:val="0"/>
            <w:vAlign w:val="center"/>
          </w:tcPr>
          <w:p>
            <w:pPr>
              <w:spacing w:line="300" w:lineRule="exac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eastAsia="zh-CN"/>
              </w:rPr>
              <w:t>《本市老旧汽车报废更新补贴实施细则》（沪商市场[20</w:t>
            </w:r>
            <w:r>
              <w:rPr>
                <w:rFonts w:hint="eastAsia" w:ascii="Times New Roman" w:hAnsi="Times New Roman" w:eastAsia="楷体_GB2312" w:cs="Times New Roman"/>
                <w:color w:val="000000"/>
                <w:spacing w:val="0"/>
                <w:sz w:val="21"/>
                <w:szCs w:val="21"/>
                <w:lang w:val="en-US" w:eastAsia="zh-CN"/>
              </w:rPr>
              <w:t>20</w:t>
            </w:r>
            <w:r>
              <w:rPr>
                <w:rFonts w:hint="eastAsia" w:ascii="Times New Roman" w:hAnsi="Times New Roman" w:eastAsia="楷体_GB2312" w:cs="Times New Roman"/>
                <w:color w:val="000000"/>
                <w:spacing w:val="0"/>
                <w:sz w:val="21"/>
                <w:szCs w:val="21"/>
                <w:lang w:eastAsia="zh-CN"/>
              </w:rPr>
              <w:t>]</w:t>
            </w:r>
            <w:r>
              <w:rPr>
                <w:rFonts w:hint="eastAsia" w:ascii="Times New Roman" w:hAnsi="Times New Roman" w:eastAsia="楷体_GB2312" w:cs="Times New Roman"/>
                <w:color w:val="000000"/>
                <w:spacing w:val="0"/>
                <w:sz w:val="21"/>
                <w:szCs w:val="21"/>
                <w:lang w:val="en-US" w:eastAsia="zh-CN"/>
              </w:rPr>
              <w:t>115</w:t>
            </w:r>
            <w:r>
              <w:rPr>
                <w:rFonts w:hint="eastAsia" w:ascii="Times New Roman" w:hAnsi="Times New Roman" w:eastAsia="楷体_GB2312" w:cs="Times New Roman"/>
                <w:color w:val="000000"/>
                <w:spacing w:val="0"/>
                <w:sz w:val="21"/>
                <w:szCs w:val="21"/>
                <w:lang w:eastAsia="zh-CN"/>
              </w:rPr>
              <w:t>号）和《关于规范本市老旧汽车报废更新补贴资金拨付的通知》（沪商市场[20</w:t>
            </w:r>
            <w:r>
              <w:rPr>
                <w:rFonts w:hint="eastAsia" w:ascii="Times New Roman" w:hAnsi="Times New Roman" w:eastAsia="楷体_GB2312" w:cs="Times New Roman"/>
                <w:color w:val="000000"/>
                <w:spacing w:val="0"/>
                <w:sz w:val="21"/>
                <w:szCs w:val="21"/>
                <w:lang w:val="en-US" w:eastAsia="zh-CN"/>
              </w:rPr>
              <w:t>20</w:t>
            </w:r>
            <w:r>
              <w:rPr>
                <w:rFonts w:hint="eastAsia" w:ascii="Times New Roman" w:hAnsi="Times New Roman" w:eastAsia="楷体_GB2312" w:cs="Times New Roman"/>
                <w:color w:val="000000"/>
                <w:spacing w:val="0"/>
                <w:sz w:val="21"/>
                <w:szCs w:val="21"/>
                <w:lang w:eastAsia="zh-CN"/>
              </w:rPr>
              <w:t>]</w:t>
            </w:r>
            <w:r>
              <w:rPr>
                <w:rFonts w:hint="eastAsia" w:ascii="Times New Roman" w:hAnsi="Times New Roman" w:eastAsia="楷体_GB2312" w:cs="Times New Roman"/>
                <w:color w:val="000000"/>
                <w:spacing w:val="0"/>
                <w:sz w:val="21"/>
                <w:szCs w:val="21"/>
                <w:lang w:val="en-US" w:eastAsia="zh-CN"/>
              </w:rPr>
              <w:t>180</w:t>
            </w:r>
            <w:r>
              <w:rPr>
                <w:rFonts w:hint="eastAsia" w:ascii="Times New Roman" w:hAnsi="Times New Roman" w:eastAsia="楷体_GB2312" w:cs="Times New Roman"/>
                <w:color w:val="000000"/>
                <w:spacing w:val="0"/>
                <w:sz w:val="21"/>
                <w:szCs w:val="21"/>
                <w:lang w:eastAsia="zh-CN"/>
              </w:rPr>
              <w:t>号）</w:t>
            </w:r>
          </w:p>
        </w:tc>
      </w:tr>
      <w:tr>
        <w:tblPrEx>
          <w:tblCellMar>
            <w:top w:w="0" w:type="dxa"/>
            <w:left w:w="108" w:type="dxa"/>
            <w:bottom w:w="0" w:type="dxa"/>
            <w:right w:w="108" w:type="dxa"/>
          </w:tblCellMar>
        </w:tblPrEx>
        <w:trPr>
          <w:trHeight w:val="788" w:hRule="atLeast"/>
          <w:jc w:val="center"/>
        </w:trPr>
        <w:tc>
          <w:tcPr>
            <w:tcW w:w="664" w:type="dxa"/>
            <w:tcBorders>
              <w:top w:val="nil"/>
              <w:left w:val="single" w:color="auto" w:sz="8"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2</w:t>
            </w:r>
          </w:p>
        </w:tc>
        <w:tc>
          <w:tcPr>
            <w:tcW w:w="1556" w:type="dxa"/>
            <w:tcBorders>
              <w:top w:val="nil"/>
              <w:left w:val="nil"/>
              <w:bottom w:val="single" w:color="auto" w:sz="4" w:space="0"/>
              <w:right w:val="single" w:color="auto" w:sz="4" w:space="0"/>
            </w:tcBorders>
            <w:noWrap w:val="0"/>
            <w:vAlign w:val="center"/>
          </w:tcPr>
          <w:p>
            <w:pPr>
              <w:spacing w:line="300" w:lineRule="exac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交通节能减排</w:t>
            </w:r>
          </w:p>
        </w:tc>
        <w:tc>
          <w:tcPr>
            <w:tcW w:w="168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9227.48</w:t>
            </w:r>
          </w:p>
        </w:tc>
        <w:tc>
          <w:tcPr>
            <w:tcW w:w="4672" w:type="dxa"/>
            <w:tcBorders>
              <w:top w:val="nil"/>
              <w:left w:val="nil"/>
              <w:bottom w:val="single" w:color="auto" w:sz="4" w:space="0"/>
              <w:right w:val="single" w:color="auto" w:sz="4" w:space="0"/>
            </w:tcBorders>
            <w:noWrap w:val="0"/>
            <w:vAlign w:val="center"/>
          </w:tcPr>
          <w:p>
            <w:pPr>
              <w:spacing w:line="300" w:lineRule="exac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 xml:space="preserve">    </w:t>
            </w:r>
            <w:r>
              <w:rPr>
                <w:rFonts w:hint="eastAsia" w:ascii="Times New Roman" w:hAnsi="Times New Roman" w:eastAsia="楷体_GB2312" w:cs="Times New Roman"/>
                <w:color w:val="000000"/>
                <w:spacing w:val="0"/>
                <w:sz w:val="21"/>
                <w:szCs w:val="21"/>
                <w:lang w:eastAsia="zh-CN"/>
              </w:rPr>
              <w:t>安排经审核通过</w:t>
            </w:r>
            <w:r>
              <w:rPr>
                <w:rFonts w:hint="eastAsia" w:ascii="Times New Roman" w:hAnsi="Times New Roman" w:eastAsia="楷体_GB2312" w:cs="Times New Roman"/>
                <w:color w:val="000000"/>
                <w:spacing w:val="0"/>
                <w:sz w:val="21"/>
                <w:szCs w:val="21"/>
                <w:lang w:val="en-US" w:eastAsia="zh-CN"/>
              </w:rPr>
              <w:t>58个交通节能减排项目补贴资金9227.48万元</w:t>
            </w:r>
            <w:r>
              <w:rPr>
                <w:rFonts w:hint="eastAsia" w:ascii="Times New Roman" w:hAnsi="Times New Roman" w:eastAsia="楷体_GB2312" w:cs="Times New Roman"/>
                <w:color w:val="000000"/>
                <w:spacing w:val="0"/>
                <w:sz w:val="21"/>
                <w:szCs w:val="21"/>
                <w:lang w:eastAsia="zh-CN"/>
              </w:rPr>
              <w:t>。</w:t>
            </w:r>
          </w:p>
        </w:tc>
        <w:tc>
          <w:tcPr>
            <w:tcW w:w="1976" w:type="dxa"/>
            <w:tcBorders>
              <w:top w:val="nil"/>
              <w:left w:val="nil"/>
              <w:bottom w:val="single" w:color="auto" w:sz="4" w:space="0"/>
              <w:right w:val="single" w:color="auto" w:sz="4" w:space="0"/>
            </w:tcBorders>
            <w:noWrap w:val="0"/>
            <w:vAlign w:val="center"/>
          </w:tcPr>
          <w:p>
            <w:pPr>
              <w:spacing w:line="300" w:lineRule="exact"/>
              <w:rPr>
                <w:rFonts w:hint="eastAsia" w:ascii="Times New Roman" w:hAnsi="Times New Roman" w:eastAsia="楷体_GB2312" w:cs="Times New Roman"/>
                <w:color w:val="000000"/>
                <w:spacing w:val="0"/>
                <w:sz w:val="21"/>
                <w:szCs w:val="21"/>
                <w:lang w:eastAsia="zh-CN"/>
              </w:rPr>
            </w:pPr>
            <w:r>
              <w:rPr>
                <w:rFonts w:hint="eastAsia" w:ascii="Times New Roman" w:hAnsi="Times New Roman" w:eastAsia="楷体_GB2312" w:cs="Times New Roman"/>
                <w:color w:val="000000"/>
                <w:spacing w:val="0"/>
                <w:sz w:val="21"/>
                <w:szCs w:val="21"/>
                <w:lang w:eastAsia="zh-CN"/>
              </w:rPr>
              <w:t>市交通委</w:t>
            </w:r>
          </w:p>
        </w:tc>
        <w:tc>
          <w:tcPr>
            <w:tcW w:w="5387" w:type="dxa"/>
            <w:tcBorders>
              <w:top w:val="nil"/>
              <w:left w:val="nil"/>
              <w:bottom w:val="single" w:color="auto" w:sz="4" w:space="0"/>
              <w:right w:val="single" w:color="auto" w:sz="8" w:space="0"/>
            </w:tcBorders>
            <w:noWrap w:val="0"/>
            <w:vAlign w:val="center"/>
          </w:tcPr>
          <w:p>
            <w:pPr>
              <w:spacing w:line="300" w:lineRule="exact"/>
              <w:rPr>
                <w:rFonts w:hint="eastAsia" w:ascii="Times New Roman" w:hAnsi="Times New Roman" w:eastAsia="楷体_GB2312" w:cs="Times New Roman"/>
                <w:color w:val="000000"/>
                <w:spacing w:val="0"/>
                <w:sz w:val="21"/>
                <w:szCs w:val="21"/>
                <w:lang w:eastAsia="zh-CN"/>
              </w:rPr>
            </w:pPr>
            <w:r>
              <w:rPr>
                <w:rFonts w:hint="eastAsia" w:ascii="Times New Roman" w:hAnsi="Times New Roman" w:eastAsia="楷体_GB2312" w:cs="Times New Roman"/>
                <w:color w:val="000000"/>
                <w:spacing w:val="0"/>
                <w:sz w:val="21"/>
                <w:szCs w:val="21"/>
                <w:lang w:eastAsia="zh-CN"/>
              </w:rPr>
              <w:t>《上海市交通节能减排专项扶持资金管理办法（</w:t>
            </w:r>
            <w:r>
              <w:rPr>
                <w:rFonts w:hint="eastAsia" w:ascii="Times New Roman" w:hAnsi="Times New Roman" w:eastAsia="楷体_GB2312" w:cs="Times New Roman"/>
                <w:color w:val="000000"/>
                <w:spacing w:val="0"/>
                <w:sz w:val="21"/>
                <w:szCs w:val="21"/>
                <w:lang w:val="en-US" w:eastAsia="zh-CN"/>
              </w:rPr>
              <w:t>2018年</w:t>
            </w:r>
            <w:r>
              <w:rPr>
                <w:rFonts w:hint="eastAsia" w:ascii="Times New Roman" w:hAnsi="Times New Roman" w:eastAsia="楷体_GB2312" w:cs="Times New Roman"/>
                <w:color w:val="000000"/>
                <w:spacing w:val="0"/>
                <w:sz w:val="21"/>
                <w:szCs w:val="21"/>
                <w:lang w:eastAsia="zh-CN"/>
              </w:rPr>
              <w:t>）》（沪交科[20</w:t>
            </w:r>
            <w:r>
              <w:rPr>
                <w:rFonts w:hint="eastAsia" w:ascii="Times New Roman" w:hAnsi="Times New Roman" w:eastAsia="楷体_GB2312" w:cs="Times New Roman"/>
                <w:color w:val="000000"/>
                <w:spacing w:val="0"/>
                <w:sz w:val="21"/>
                <w:szCs w:val="21"/>
                <w:lang w:val="en-US" w:eastAsia="zh-CN"/>
              </w:rPr>
              <w:t>18</w:t>
            </w:r>
            <w:r>
              <w:rPr>
                <w:rFonts w:hint="eastAsia" w:ascii="Times New Roman" w:hAnsi="Times New Roman" w:eastAsia="楷体_GB2312" w:cs="Times New Roman"/>
                <w:color w:val="000000"/>
                <w:spacing w:val="0"/>
                <w:sz w:val="21"/>
                <w:szCs w:val="21"/>
                <w:lang w:eastAsia="zh-CN"/>
              </w:rPr>
              <w:t>]</w:t>
            </w:r>
            <w:r>
              <w:rPr>
                <w:rFonts w:hint="eastAsia" w:ascii="Times New Roman" w:hAnsi="Times New Roman" w:eastAsia="楷体_GB2312" w:cs="Times New Roman"/>
                <w:color w:val="000000"/>
                <w:spacing w:val="0"/>
                <w:sz w:val="21"/>
                <w:szCs w:val="21"/>
                <w:lang w:val="en-US" w:eastAsia="zh-CN"/>
              </w:rPr>
              <w:t>540</w:t>
            </w:r>
            <w:r>
              <w:rPr>
                <w:rFonts w:hint="eastAsia" w:ascii="Times New Roman" w:hAnsi="Times New Roman" w:eastAsia="楷体_GB2312" w:cs="Times New Roman"/>
                <w:color w:val="000000"/>
                <w:spacing w:val="0"/>
                <w:sz w:val="21"/>
                <w:szCs w:val="21"/>
                <w:lang w:eastAsia="zh-CN"/>
              </w:rPr>
              <w:t>号）</w:t>
            </w:r>
          </w:p>
        </w:tc>
      </w:tr>
      <w:tr>
        <w:tblPrEx>
          <w:tblCellMar>
            <w:top w:w="0" w:type="dxa"/>
            <w:left w:w="108" w:type="dxa"/>
            <w:bottom w:w="0" w:type="dxa"/>
            <w:right w:w="108" w:type="dxa"/>
          </w:tblCellMar>
        </w:tblPrEx>
        <w:trPr>
          <w:trHeight w:val="787" w:hRule="atLeast"/>
          <w:jc w:val="center"/>
        </w:trPr>
        <w:tc>
          <w:tcPr>
            <w:tcW w:w="664" w:type="dxa"/>
            <w:tcBorders>
              <w:top w:val="nil"/>
              <w:left w:val="single" w:color="auto" w:sz="8" w:space="0"/>
              <w:bottom w:val="single" w:color="auto" w:sz="4" w:space="0"/>
              <w:right w:val="single" w:color="auto" w:sz="4" w:space="0"/>
            </w:tcBorders>
            <w:noWrap w:val="0"/>
            <w:vAlign w:val="center"/>
          </w:tcPr>
          <w:p>
            <w:pPr>
              <w:spacing w:line="300" w:lineRule="exact"/>
              <w:jc w:val="center"/>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3</w:t>
            </w:r>
          </w:p>
        </w:tc>
        <w:tc>
          <w:tcPr>
            <w:tcW w:w="1556"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新能源汽车充电补贴</w:t>
            </w:r>
          </w:p>
        </w:tc>
        <w:tc>
          <w:tcPr>
            <w:tcW w:w="168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441.66</w:t>
            </w:r>
          </w:p>
        </w:tc>
        <w:tc>
          <w:tcPr>
            <w:tcW w:w="4672"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 xml:space="preserve">    安排经审核通过的14722名消费者新能源汽车充电补助资金441.66万元。</w:t>
            </w:r>
          </w:p>
        </w:tc>
        <w:tc>
          <w:tcPr>
            <w:tcW w:w="1976"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市发展改革委</w:t>
            </w:r>
          </w:p>
        </w:tc>
        <w:tc>
          <w:tcPr>
            <w:tcW w:w="5387" w:type="dxa"/>
            <w:tcBorders>
              <w:top w:val="nil"/>
              <w:left w:val="nil"/>
              <w:bottom w:val="single" w:color="auto" w:sz="4" w:space="0"/>
              <w:right w:val="single" w:color="auto" w:sz="8"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《消费者购买新能源汽车充电补助实施细则》（沪发改规范[2020]5号）</w:t>
            </w:r>
          </w:p>
        </w:tc>
      </w:tr>
      <w:tr>
        <w:tblPrEx>
          <w:tblCellMar>
            <w:top w:w="0" w:type="dxa"/>
            <w:left w:w="108" w:type="dxa"/>
            <w:bottom w:w="0" w:type="dxa"/>
            <w:right w:w="108" w:type="dxa"/>
          </w:tblCellMar>
        </w:tblPrEx>
        <w:trPr>
          <w:trHeight w:val="750" w:hRule="atLeast"/>
          <w:jc w:val="center"/>
        </w:trPr>
        <w:tc>
          <w:tcPr>
            <w:tcW w:w="664" w:type="dxa"/>
            <w:tcBorders>
              <w:top w:val="nil"/>
              <w:left w:val="single" w:color="auto" w:sz="8"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4</w:t>
            </w:r>
          </w:p>
        </w:tc>
        <w:tc>
          <w:tcPr>
            <w:tcW w:w="1556"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能耗在线监测系统补贴</w:t>
            </w:r>
          </w:p>
        </w:tc>
        <w:tc>
          <w:tcPr>
            <w:tcW w:w="168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614.1526</w:t>
            </w:r>
          </w:p>
        </w:tc>
        <w:tc>
          <w:tcPr>
            <w:tcW w:w="4672"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 xml:space="preserve">   安排经审核通过的扶持资金614.1526万元。</w:t>
            </w:r>
          </w:p>
        </w:tc>
        <w:tc>
          <w:tcPr>
            <w:tcW w:w="1976"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市市场监管局</w:t>
            </w:r>
          </w:p>
        </w:tc>
        <w:tc>
          <w:tcPr>
            <w:tcW w:w="5387" w:type="dxa"/>
            <w:tcBorders>
              <w:top w:val="nil"/>
              <w:left w:val="nil"/>
              <w:bottom w:val="single" w:color="auto" w:sz="4" w:space="0"/>
              <w:right w:val="single" w:color="auto" w:sz="8"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《上海市重点用能单位能耗在线</w:t>
            </w:r>
            <w:r>
              <w:rPr>
                <w:rFonts w:hint="eastAsia" w:eastAsia="楷体_GB2312" w:cs="Times New Roman"/>
                <w:color w:val="000000"/>
                <w:spacing w:val="0"/>
                <w:sz w:val="21"/>
                <w:szCs w:val="21"/>
                <w:lang w:val="en-US" w:eastAsia="zh-CN"/>
              </w:rPr>
              <w:t>监</w:t>
            </w:r>
            <w:r>
              <w:rPr>
                <w:rFonts w:hint="eastAsia" w:ascii="Times New Roman" w:hAnsi="Times New Roman" w:eastAsia="楷体_GB2312" w:cs="Times New Roman"/>
                <w:color w:val="000000"/>
                <w:spacing w:val="0"/>
                <w:sz w:val="21"/>
                <w:szCs w:val="21"/>
                <w:lang w:val="en-US" w:eastAsia="zh-CN"/>
              </w:rPr>
              <w:t>测系统建设项目专项扶持资金管理办法》（沪质技监量[2016]412号）</w:t>
            </w:r>
          </w:p>
        </w:tc>
      </w:tr>
      <w:tr>
        <w:tblPrEx>
          <w:tblCellMar>
            <w:top w:w="0" w:type="dxa"/>
            <w:left w:w="108" w:type="dxa"/>
            <w:bottom w:w="0" w:type="dxa"/>
            <w:right w:w="108" w:type="dxa"/>
          </w:tblCellMar>
        </w:tblPrEx>
        <w:trPr>
          <w:trHeight w:val="1925" w:hRule="atLeast"/>
          <w:jc w:val="center"/>
        </w:trPr>
        <w:tc>
          <w:tcPr>
            <w:tcW w:w="664" w:type="dxa"/>
            <w:tcBorders>
              <w:top w:val="nil"/>
              <w:left w:val="single" w:color="auto" w:sz="8" w:space="0"/>
              <w:bottom w:val="single" w:color="auto" w:sz="4" w:space="0"/>
              <w:right w:val="single" w:color="auto" w:sz="4" w:space="0"/>
            </w:tcBorders>
            <w:noWrap w:val="0"/>
            <w:vAlign w:val="center"/>
          </w:tcPr>
          <w:p>
            <w:pPr>
              <w:spacing w:line="300" w:lineRule="exact"/>
              <w:jc w:val="center"/>
              <w:rPr>
                <w:rFonts w:hint="default"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5</w:t>
            </w:r>
          </w:p>
        </w:tc>
        <w:tc>
          <w:tcPr>
            <w:tcW w:w="1556"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节能能力建设资金</w:t>
            </w:r>
          </w:p>
        </w:tc>
        <w:tc>
          <w:tcPr>
            <w:tcW w:w="1684" w:type="dxa"/>
            <w:tcBorders>
              <w:top w:val="nil"/>
              <w:left w:val="nil"/>
              <w:bottom w:val="single" w:color="auto" w:sz="4" w:space="0"/>
              <w:right w:val="single" w:color="auto" w:sz="4" w:space="0"/>
            </w:tcBorders>
            <w:noWrap w:val="0"/>
            <w:vAlign w:val="center"/>
          </w:tcPr>
          <w:p>
            <w:pPr>
              <w:spacing w:line="300" w:lineRule="exact"/>
              <w:jc w:val="center"/>
              <w:rPr>
                <w:rFonts w:hint="default" w:ascii="Times New Roman" w:hAnsi="Times New Roman" w:eastAsia="楷体_GB2312" w:cs="Times New Roman"/>
                <w:color w:val="000000"/>
                <w:spacing w:val="0"/>
                <w:sz w:val="21"/>
                <w:szCs w:val="21"/>
                <w:lang w:val="en-US" w:eastAsia="zh-CN"/>
              </w:rPr>
            </w:pPr>
            <w:r>
              <w:rPr>
                <w:rFonts w:hint="eastAsia" w:eastAsia="楷体_GB2312" w:cs="Times New Roman"/>
                <w:color w:val="000000"/>
                <w:spacing w:val="0"/>
                <w:sz w:val="21"/>
                <w:szCs w:val="21"/>
                <w:lang w:val="en-US" w:eastAsia="zh-CN"/>
              </w:rPr>
              <w:t>208.9465</w:t>
            </w:r>
          </w:p>
        </w:tc>
        <w:tc>
          <w:tcPr>
            <w:tcW w:w="4672"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 xml:space="preserve">   安排经审核通过的项目支持资金2</w:t>
            </w:r>
            <w:r>
              <w:rPr>
                <w:rFonts w:hint="eastAsia" w:eastAsia="楷体_GB2312" w:cs="Times New Roman"/>
                <w:color w:val="000000"/>
                <w:spacing w:val="0"/>
                <w:sz w:val="21"/>
                <w:szCs w:val="21"/>
                <w:lang w:val="en-US" w:eastAsia="zh-CN"/>
              </w:rPr>
              <w:t>08</w:t>
            </w:r>
            <w:r>
              <w:rPr>
                <w:rFonts w:hint="eastAsia" w:ascii="Times New Roman" w:hAnsi="Times New Roman" w:eastAsia="楷体_GB2312" w:cs="Times New Roman"/>
                <w:color w:val="000000"/>
                <w:spacing w:val="0"/>
                <w:sz w:val="21"/>
                <w:szCs w:val="21"/>
                <w:lang w:val="en-US" w:eastAsia="zh-CN"/>
              </w:rPr>
              <w:t>.9465万元，其中：</w:t>
            </w:r>
          </w:p>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 xml:space="preserve">    2020年3个项目支持资金87.9465万元；2019年7个结转项目支持资金6</w:t>
            </w:r>
            <w:r>
              <w:rPr>
                <w:rFonts w:hint="eastAsia" w:eastAsia="楷体_GB2312" w:cs="Times New Roman"/>
                <w:color w:val="000000"/>
                <w:spacing w:val="0"/>
                <w:sz w:val="21"/>
                <w:szCs w:val="21"/>
                <w:lang w:val="en-US" w:eastAsia="zh-CN"/>
              </w:rPr>
              <w:t>0</w:t>
            </w:r>
            <w:r>
              <w:rPr>
                <w:rFonts w:hint="eastAsia" w:ascii="Times New Roman" w:hAnsi="Times New Roman" w:eastAsia="楷体_GB2312" w:cs="Times New Roman"/>
                <w:color w:val="000000"/>
                <w:spacing w:val="0"/>
                <w:sz w:val="21"/>
                <w:szCs w:val="21"/>
                <w:lang w:val="en-US" w:eastAsia="zh-CN"/>
              </w:rPr>
              <w:t>万元；2018年一批标准制定类结转项目支持资金1</w:t>
            </w:r>
            <w:r>
              <w:rPr>
                <w:rFonts w:hint="eastAsia" w:eastAsia="楷体_GB2312" w:cs="Times New Roman"/>
                <w:color w:val="000000"/>
                <w:spacing w:val="0"/>
                <w:sz w:val="21"/>
                <w:szCs w:val="21"/>
                <w:lang w:val="en-US" w:eastAsia="zh-CN"/>
              </w:rPr>
              <w:t>6.5</w:t>
            </w:r>
            <w:r>
              <w:rPr>
                <w:rFonts w:hint="eastAsia" w:ascii="Times New Roman" w:hAnsi="Times New Roman" w:eastAsia="楷体_GB2312" w:cs="Times New Roman"/>
                <w:color w:val="000000"/>
                <w:spacing w:val="0"/>
                <w:sz w:val="21"/>
                <w:szCs w:val="21"/>
                <w:lang w:val="en-US" w:eastAsia="zh-CN"/>
              </w:rPr>
              <w:t>万元；2017年一批标准制定类结转项目支持资金44.5万元。</w:t>
            </w:r>
          </w:p>
        </w:tc>
        <w:tc>
          <w:tcPr>
            <w:tcW w:w="1976" w:type="dxa"/>
            <w:tcBorders>
              <w:top w:val="nil"/>
              <w:left w:val="nil"/>
              <w:bottom w:val="single" w:color="auto" w:sz="4" w:space="0"/>
              <w:right w:val="single" w:color="auto" w:sz="4"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市发展改革委</w:t>
            </w:r>
          </w:p>
        </w:tc>
        <w:tc>
          <w:tcPr>
            <w:tcW w:w="5387" w:type="dxa"/>
            <w:tcBorders>
              <w:top w:val="nil"/>
              <w:left w:val="nil"/>
              <w:bottom w:val="single" w:color="auto" w:sz="4" w:space="0"/>
              <w:right w:val="single" w:color="auto" w:sz="8" w:space="0"/>
            </w:tcBorders>
            <w:noWrap w:val="0"/>
            <w:vAlign w:val="center"/>
          </w:tcPr>
          <w:p>
            <w:pPr>
              <w:spacing w:line="300" w:lineRule="exact"/>
              <w:jc w:val="left"/>
              <w:rPr>
                <w:rFonts w:hint="eastAsia" w:ascii="Times New Roman" w:hAnsi="Times New Roman" w:eastAsia="楷体_GB2312" w:cs="Times New Roman"/>
                <w:color w:val="000000"/>
                <w:spacing w:val="0"/>
                <w:sz w:val="21"/>
                <w:szCs w:val="21"/>
                <w:lang w:val="en-US" w:eastAsia="zh-CN"/>
              </w:rPr>
            </w:pPr>
            <w:r>
              <w:rPr>
                <w:rFonts w:hint="eastAsia" w:ascii="Times New Roman" w:hAnsi="Times New Roman" w:eastAsia="楷体_GB2312" w:cs="Times New Roman"/>
                <w:color w:val="000000"/>
                <w:spacing w:val="0"/>
                <w:sz w:val="21"/>
                <w:szCs w:val="21"/>
                <w:lang w:val="en-US" w:eastAsia="zh-CN"/>
              </w:rPr>
              <w:t>按照《上海市节能降耗和应对气候变化基础工作及能力建设资金使用管理办法》（沪发改环资[2011]73号）</w:t>
            </w:r>
          </w:p>
        </w:tc>
      </w:tr>
      <w:tr>
        <w:tblPrEx>
          <w:tblCellMar>
            <w:top w:w="0" w:type="dxa"/>
            <w:left w:w="108" w:type="dxa"/>
            <w:bottom w:w="0" w:type="dxa"/>
            <w:right w:w="108" w:type="dxa"/>
          </w:tblCellMar>
        </w:tblPrEx>
        <w:trPr>
          <w:trHeight w:val="508" w:hRule="atLeast"/>
          <w:jc w:val="center"/>
        </w:trPr>
        <w:tc>
          <w:tcPr>
            <w:tcW w:w="2220" w:type="dxa"/>
            <w:gridSpan w:val="2"/>
            <w:tcBorders>
              <w:top w:val="nil"/>
              <w:left w:val="single" w:color="auto" w:sz="8" w:space="0"/>
              <w:bottom w:val="single" w:color="auto" w:sz="8" w:space="0"/>
              <w:right w:val="single" w:color="auto" w:sz="4" w:space="0"/>
            </w:tcBorders>
            <w:noWrap w:val="0"/>
            <w:vAlign w:val="center"/>
          </w:tcPr>
          <w:p>
            <w:pPr>
              <w:spacing w:line="240" w:lineRule="atLeast"/>
              <w:jc w:val="center"/>
              <w:rPr>
                <w:rFonts w:eastAsia="楷体_GB2312"/>
                <w:b/>
                <w:color w:val="000000"/>
                <w:spacing w:val="0"/>
                <w:sz w:val="21"/>
                <w:szCs w:val="21"/>
              </w:rPr>
            </w:pPr>
            <w:r>
              <w:rPr>
                <w:rFonts w:eastAsia="楷体_GB2312"/>
                <w:b/>
                <w:color w:val="000000"/>
                <w:spacing w:val="0"/>
                <w:sz w:val="21"/>
                <w:szCs w:val="21"/>
              </w:rPr>
              <w:t>合计</w:t>
            </w:r>
          </w:p>
        </w:tc>
        <w:tc>
          <w:tcPr>
            <w:tcW w:w="1684" w:type="dxa"/>
            <w:tcBorders>
              <w:top w:val="nil"/>
              <w:left w:val="nil"/>
              <w:bottom w:val="single" w:color="auto" w:sz="8" w:space="0"/>
              <w:right w:val="single" w:color="auto" w:sz="4" w:space="0"/>
            </w:tcBorders>
            <w:noWrap w:val="0"/>
            <w:vAlign w:val="center"/>
          </w:tcPr>
          <w:p>
            <w:pPr>
              <w:spacing w:line="240" w:lineRule="atLeast"/>
              <w:jc w:val="center"/>
              <w:rPr>
                <w:rFonts w:hint="default" w:eastAsia="楷体_GB2312"/>
                <w:b/>
                <w:color w:val="000000"/>
                <w:spacing w:val="0"/>
                <w:sz w:val="21"/>
                <w:szCs w:val="21"/>
                <w:lang w:val="en-US" w:eastAsia="zh-CN"/>
              </w:rPr>
            </w:pPr>
            <w:r>
              <w:rPr>
                <w:rFonts w:hint="eastAsia" w:eastAsia="楷体_GB2312"/>
                <w:b/>
                <w:color w:val="000000"/>
                <w:spacing w:val="0"/>
                <w:sz w:val="21"/>
                <w:szCs w:val="21"/>
                <w:lang w:val="en-US" w:eastAsia="zh-CN"/>
              </w:rPr>
              <w:t>12773.8391</w:t>
            </w:r>
          </w:p>
        </w:tc>
        <w:tc>
          <w:tcPr>
            <w:tcW w:w="4672" w:type="dxa"/>
            <w:tcBorders>
              <w:top w:val="nil"/>
              <w:left w:val="nil"/>
              <w:bottom w:val="single" w:color="auto" w:sz="8" w:space="0"/>
              <w:right w:val="single" w:color="auto" w:sz="4" w:space="0"/>
            </w:tcBorders>
            <w:noWrap w:val="0"/>
            <w:vAlign w:val="center"/>
          </w:tcPr>
          <w:p>
            <w:pPr>
              <w:spacing w:line="240" w:lineRule="atLeast"/>
              <w:jc w:val="center"/>
              <w:rPr>
                <w:rFonts w:eastAsia="楷体_GB2312"/>
                <w:b/>
                <w:color w:val="000000"/>
                <w:spacing w:val="0"/>
                <w:sz w:val="21"/>
                <w:szCs w:val="21"/>
              </w:rPr>
            </w:pPr>
          </w:p>
        </w:tc>
        <w:tc>
          <w:tcPr>
            <w:tcW w:w="1976" w:type="dxa"/>
            <w:tcBorders>
              <w:top w:val="nil"/>
              <w:left w:val="nil"/>
              <w:bottom w:val="single" w:color="auto" w:sz="8" w:space="0"/>
              <w:right w:val="single" w:color="auto" w:sz="4" w:space="0"/>
            </w:tcBorders>
            <w:noWrap w:val="0"/>
            <w:vAlign w:val="center"/>
          </w:tcPr>
          <w:p>
            <w:pPr>
              <w:spacing w:line="240" w:lineRule="atLeast"/>
              <w:jc w:val="center"/>
              <w:rPr>
                <w:rFonts w:eastAsia="楷体_GB2312"/>
                <w:b/>
                <w:color w:val="000000"/>
                <w:spacing w:val="0"/>
                <w:sz w:val="21"/>
                <w:szCs w:val="21"/>
              </w:rPr>
            </w:pPr>
          </w:p>
        </w:tc>
        <w:tc>
          <w:tcPr>
            <w:tcW w:w="5387" w:type="dxa"/>
            <w:tcBorders>
              <w:top w:val="nil"/>
              <w:left w:val="nil"/>
              <w:bottom w:val="single" w:color="auto" w:sz="8" w:space="0"/>
              <w:right w:val="single" w:color="auto" w:sz="8" w:space="0"/>
            </w:tcBorders>
            <w:noWrap w:val="0"/>
            <w:vAlign w:val="center"/>
          </w:tcPr>
          <w:p>
            <w:pPr>
              <w:spacing w:line="240" w:lineRule="atLeast"/>
              <w:jc w:val="center"/>
              <w:rPr>
                <w:rFonts w:eastAsia="楷体_GB2312"/>
                <w:b/>
                <w:color w:val="000000"/>
                <w:spacing w:val="0"/>
                <w:sz w:val="21"/>
                <w:szCs w:val="21"/>
              </w:rPr>
            </w:pPr>
          </w:p>
        </w:tc>
      </w:tr>
    </w:tbl>
    <w:p>
      <w:pPr>
        <w:rPr>
          <w:rFonts w:hint="eastAsia"/>
        </w:rPr>
        <w:sectPr>
          <w:footerReference r:id="rId3" w:type="default"/>
          <w:footerReference r:id="rId4" w:type="even"/>
          <w:pgSz w:w="16838" w:h="11906" w:orient="landscape"/>
          <w:pgMar w:top="1134" w:right="2098" w:bottom="850" w:left="1985" w:header="851" w:footer="1701" w:gutter="0"/>
          <w:pgNumType w:fmt="numberInDash"/>
          <w:cols w:space="720" w:num="1"/>
          <w:rtlGutter w:val="0"/>
          <w:docGrid w:type="lines" w:linePitch="579" w:charSpace="0"/>
        </w:sect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widowControl w:val="0"/>
      <w:snapToGrid w:val="0"/>
      <w:ind w:left="308" w:leftChars="100" w:right="308" w:rightChars="100"/>
      <w:jc w:val="left"/>
      <w:rPr>
        <w:rStyle w:val="4"/>
        <w:rFonts w:ascii="宋体" w:hAnsi="宋体" w:eastAsia="宋体" w:cs="Times New Roman"/>
        <w:kern w:val="2"/>
        <w:sz w:val="28"/>
        <w:szCs w:val="28"/>
        <w:lang w:val="en-US" w:eastAsia="zh-CN" w:bidi="ar-SA"/>
      </w:rPr>
    </w:pPr>
    <w:r>
      <w:rPr>
        <w:rFonts w:ascii="宋体" w:hAnsi="宋体" w:eastAsia="宋体" w:cs="Times New Roman"/>
        <w:kern w:val="2"/>
        <w:sz w:val="28"/>
        <w:szCs w:val="28"/>
        <w:lang w:val="en-US" w:eastAsia="zh-CN" w:bidi="ar-SA"/>
      </w:rPr>
      <w:fldChar w:fldCharType="begin"/>
    </w:r>
    <w:r>
      <w:rPr>
        <w:rStyle w:val="4"/>
        <w:rFonts w:ascii="宋体" w:hAnsi="宋体" w:eastAsia="宋体" w:cs="Times New Roman"/>
        <w:kern w:val="2"/>
        <w:sz w:val="28"/>
        <w:szCs w:val="28"/>
        <w:lang w:val="en-US" w:eastAsia="zh-CN" w:bidi="ar-SA"/>
      </w:rPr>
      <w:instrText xml:space="preserve">PAGE  </w:instrText>
    </w:r>
    <w:r>
      <w:rPr>
        <w:rFonts w:ascii="宋体" w:hAnsi="宋体" w:eastAsia="宋体" w:cs="Times New Roman"/>
        <w:kern w:val="2"/>
        <w:sz w:val="28"/>
        <w:szCs w:val="28"/>
        <w:lang w:val="en-US" w:eastAsia="zh-CN" w:bidi="ar-SA"/>
      </w:rPr>
      <w:fldChar w:fldCharType="separate"/>
    </w:r>
    <w:r>
      <w:rPr>
        <w:rStyle w:val="4"/>
        <w:rFonts w:ascii="宋体" w:hAnsi="宋体" w:eastAsia="宋体" w:cs="Times New Roman"/>
        <w:kern w:val="2"/>
        <w:sz w:val="28"/>
        <w:szCs w:val="28"/>
        <w:lang w:val="en-US" w:eastAsia="zh-CN" w:bidi="ar-SA"/>
      </w:rPr>
      <w:t>- 3 -</w:t>
    </w:r>
    <w:r>
      <w:rPr>
        <w:rFonts w:ascii="宋体" w:hAnsi="宋体" w:eastAsia="宋体" w:cs="Times New Roman"/>
        <w:kern w:val="2"/>
        <w:sz w:val="28"/>
        <w:szCs w:val="28"/>
        <w:lang w:val="en-US" w:eastAsia="zh-CN" w:bidi="ar-SA"/>
      </w:rPr>
      <w:fldChar w:fldCharType="end"/>
    </w:r>
  </w:p>
  <w:p>
    <w:pPr>
      <w:widowControl w:val="0"/>
      <w:snapToGrid w:val="0"/>
      <w:jc w:val="left"/>
      <w:rPr>
        <w:rFonts w:hint="eastAsia" w:ascii="Times New Roman" w:hAnsi="Times New Roman" w:eastAsia="宋体" w:cs="Times New Roman"/>
        <w:kern w:val="2"/>
        <w:sz w:val="18"/>
        <w:szCs w:val="18"/>
        <w:lang w:val="en-US" w:eastAsia="zh-CN" w:bidi="ar-S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4"/>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Style w:val="4"/>
        <w:rFonts w:ascii="Calibri" w:hAnsi="Calibri" w:eastAsia="宋体" w:cs="Times New Roman"/>
        <w:kern w:val="2"/>
        <w:sz w:val="18"/>
        <w:szCs w:val="18"/>
        <w:lang w:val="en-US" w:eastAsia="zh-CN" w:bidi="ar-SA"/>
      </w:rPr>
      <w:instrText xml:space="preserve">PAGE  </w:instrText>
    </w:r>
    <w:r>
      <w:rPr>
        <w:rFonts w:ascii="Times New Roman" w:hAnsi="Times New Roman" w:eastAsia="宋体" w:cs="Times New Roman"/>
        <w:kern w:val="2"/>
        <w:sz w:val="18"/>
        <w:szCs w:val="18"/>
        <w:lang w:val="en-US" w:eastAsia="zh-CN" w:bidi="ar-SA"/>
      </w:rPr>
      <w:fldChar w:fldCharType="separate"/>
    </w:r>
    <w:r>
      <w:rPr>
        <w:rStyle w:val="4"/>
        <w:rFonts w:ascii="Calibri" w:hAnsi="Calibri" w:eastAsia="宋体" w:cs="Times New Roman"/>
        <w:kern w:val="2"/>
        <w:sz w:val="18"/>
        <w:szCs w:val="18"/>
        <w:lang w:val="en-US" w:eastAsia="zh-CN" w:bidi="ar-SA"/>
      </w:rPr>
      <w:t>2</w:t>
    </w:r>
    <w:r>
      <w:rPr>
        <w:rFonts w:ascii="Times New Roman" w:hAnsi="Times New Roman" w:eastAsia="宋体" w:cs="Times New Roman"/>
        <w:kern w:val="2"/>
        <w:sz w:val="18"/>
        <w:szCs w:val="18"/>
        <w:lang w:val="en-US" w:eastAsia="zh-CN" w:bidi="ar-SA"/>
      </w:rPr>
      <w:fldChar w:fldCharType="end"/>
    </w:r>
  </w:p>
  <w:p>
    <w:pPr>
      <w:widowControl w:val="0"/>
      <w:snapToGrid w:val="0"/>
      <w:ind w:right="360"/>
      <w:jc w:val="left"/>
      <w:rPr>
        <w:rFonts w:ascii="Times New Roman" w:hAnsi="Times New Roman"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E64AE"/>
    <w:rsid w:val="5E1E64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spacing w:val="-6"/>
      <w:kern w:val="2"/>
      <w:sz w:val="32"/>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character" w:styleId="4">
    <w:name w:val="page number"/>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2020-12-09T09:34:00Z</dcterms:created>
  <dc:creator>国贸周润发</dc:creator>
  <cp:lastModifiedBy>国贸周润发</cp:lastModifiedBy>
  <dcterms:modified xsi:type="dcterms:W3CDTF">2020-12-09T09:35:11Z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