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76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64"/>
          <w:szCs w:val="64"/>
        </w:rPr>
      </w:pPr>
      <w:r>
        <w:rPr>
          <w:rFonts w:hint="eastAsia" w:ascii="方正小标宋简体" w:hAnsi="宋体" w:eastAsia="方正小标宋简体"/>
          <w:color w:val="FF0000"/>
          <w:kern w:val="2"/>
          <w:sz w:val="64"/>
          <w:szCs w:val="64"/>
        </w:rPr>
        <w:t>上海市市场监督管理局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76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</w:pPr>
      <w:r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  <w:t>上海市高级人民法院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76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</w:pPr>
      <w:r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  <w:t>上海市人民检察院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76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</w:pPr>
      <w:r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  <w:t>上海市公安局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76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</w:pPr>
      <w:r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  <w:t>上海市司法局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76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</w:pPr>
      <w:r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  <w:t>上海市发展和改革委员会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76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w w:val="55"/>
          <w:kern w:val="2"/>
          <w:sz w:val="64"/>
          <w:szCs w:val="64"/>
          <w:lang w:eastAsia="zh-CN"/>
        </w:rPr>
      </w:pPr>
      <w:r>
        <w:rPr>
          <w:rFonts w:hint="eastAsia" w:ascii="方正小标宋简体" w:hAnsi="宋体" w:eastAsia="方正小标宋简体"/>
          <w:color w:val="FF0000"/>
          <w:w w:val="55"/>
          <w:kern w:val="2"/>
          <w:sz w:val="64"/>
          <w:szCs w:val="64"/>
          <w:lang w:eastAsia="zh-CN"/>
        </w:rPr>
        <w:t>中共上海市委网络安全和信息化委员会办公室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760" w:lineRule="exact"/>
        <w:ind w:left="170" w:right="17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</w:pPr>
      <w:r>
        <w:rPr>
          <w:rFonts w:hint="eastAsia" w:ascii="方正小标宋简体" w:hAnsi="宋体" w:eastAsia="方正小标宋简体"/>
          <w:color w:val="FF0000"/>
          <w:kern w:val="2"/>
          <w:sz w:val="64"/>
          <w:szCs w:val="64"/>
          <w:lang w:eastAsia="zh-CN"/>
        </w:rPr>
        <w:t>上海市信访办公室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jc w:val="center"/>
        <w:textAlignment w:val="auto"/>
        <w:rPr>
          <w:rFonts w:hint="eastAsia"/>
          <w:kern w:val="2"/>
          <w:szCs w:val="32"/>
        </w:rPr>
      </w:pPr>
      <w:r>
        <w:rPr>
          <w:rFonts w:hint="eastAsia"/>
          <w:kern w:val="2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386080</wp:posOffset>
                </wp:positionV>
                <wp:extent cx="5615940" cy="0"/>
                <wp:effectExtent l="0" t="9525" r="3810" b="952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05pt;margin-top:30.4pt;height:0pt;width:442.2pt;z-index:251660288;mso-width-relative:page;mso-height-relative:page;" filled="f" stroked="t" coordsize="21600,21600" o:gfxdata="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WAAAAZHJzL1BLAQIUABQAAAAI&#10;AIdO4kCIDoLA1AAAAAYBAAAPAAAAAAAAAAEAIAAAADgAAABkcnMvZG93bnJldi54bWxQSwECFAAU&#10;AAAACACHTuJA7yxrV98BAACaAwAADgAAAAAAAAABACAAAAA5AQAAZHJzL2Uyb0RvYy54bWxQSwUG&#10;AAAAAAYABgBZAQAAigUAAAAA&#10;">
                <v:fill on="f" focussize="0,0"/>
                <v:stroke weight="1.5pt" color="#FF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Cs w:val="32"/>
        </w:rPr>
        <w:t>沪市监</w:t>
      </w:r>
      <w:r>
        <w:rPr>
          <w:rFonts w:hint="eastAsia"/>
          <w:kern w:val="2"/>
          <w:szCs w:val="32"/>
          <w:lang w:eastAsia="zh-CN"/>
        </w:rPr>
        <w:t>消保</w:t>
      </w:r>
      <w:r>
        <w:rPr>
          <w:rFonts w:hint="eastAsia"/>
          <w:kern w:val="2"/>
          <w:szCs w:val="32"/>
        </w:rPr>
        <w:t>〔202</w:t>
      </w:r>
      <w:r>
        <w:rPr>
          <w:rFonts w:hint="default"/>
          <w:kern w:val="2"/>
          <w:szCs w:val="32"/>
          <w:lang w:val="en"/>
        </w:rPr>
        <w:t>5</w:t>
      </w:r>
      <w:r>
        <w:rPr>
          <w:rFonts w:hint="eastAsia"/>
          <w:kern w:val="2"/>
          <w:szCs w:val="32"/>
        </w:rPr>
        <w:t>〕</w:t>
      </w:r>
      <w:r>
        <w:rPr>
          <w:rFonts w:hint="default"/>
          <w:kern w:val="2"/>
          <w:szCs w:val="32"/>
          <w:lang w:val="en"/>
        </w:rPr>
        <w:t>298</w:t>
      </w:r>
      <w:r>
        <w:rPr>
          <w:rFonts w:hint="eastAsia"/>
          <w:kern w:val="2"/>
          <w:szCs w:val="32"/>
        </w:rPr>
        <w:t>号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jc w:val="center"/>
        <w:textAlignment w:val="auto"/>
        <w:rPr>
          <w:rFonts w:hint="eastAsia"/>
          <w:kern w:val="0"/>
          <w:szCs w:val="30"/>
        </w:rPr>
      </w:pPr>
      <w:r>
        <w:rPr>
          <w:rFonts w:hint="eastAsia"/>
          <w:kern w:val="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17145</wp:posOffset>
                </wp:positionV>
                <wp:extent cx="5615940" cy="0"/>
                <wp:effectExtent l="0" t="9525" r="3810" b="952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05pt;margin-top:1.35pt;height:0pt;width:442.2pt;z-index:251659264;mso-width-relative:page;mso-height-relative:page;" filled="f" stroked="t" coordsize="21600,21600" o:gfxdata="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FgAAAGRycy9QSwECFAAUAAAACACH&#10;TuJAmImMA9MAAAAEAQAADwAAAAAAAAABACAAAAA4AAAAZHJzL2Rvd25yZXYueG1sUEsBAhQAFAAA&#10;AAgAh07iQCnDxC/eAQAAmgMAAA4AAAAAAAAAAQAgAAAAOAEAAGRycy9lMm9Eb2MueG1sUEsFBgAA&#10;AAAGAAYAWQEAAIgFAAAAAA==&#10;">
                <v:fill on="f" focussize="0,0"/>
                <v:stroke weight="1.5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eastAsia"/>
          <w:kern w:val="0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  <w:lang w:val="en-US" w:eastAsia="zh-CN"/>
        </w:rPr>
        <w:t>上海市市场监督管理局等八部门关于印发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right="17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  <w:lang w:val="en-US" w:eastAsia="zh-CN"/>
        </w:rPr>
        <w:t>《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关于依法治理牟利性职业索赔、职业举报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行为的若干意见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val="en-US" w:eastAsia="zh-CN"/>
        </w:rPr>
        <w:t>》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的通知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jc w:val="both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hAnsi="宋体"/>
          <w:kern w:val="2"/>
          <w:szCs w:val="30"/>
          <w:lang w:eastAsia="zh-CN"/>
        </w:rPr>
        <w:t>各区市场监管局，临港新片区市场监管局，市市场监管局执法总队、机场分局，各区人民法院，各区人民检察院，各区公安分局，各区司法局，各区发展改革委，各区委网信办，各区信访办：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eastAsia="zh-CN"/>
        </w:rPr>
        <w:t>现将《关于依法治理牟利性职业索赔、职业举报行为的若干意见》印发给你们，请认真贯彻落实。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tbl>
      <w:tblPr>
        <w:tblStyle w:val="5"/>
        <w:tblW w:w="0" w:type="auto"/>
        <w:tblInd w:w="6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5"/>
        <w:gridCol w:w="737"/>
        <w:gridCol w:w="33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</w:trPr>
        <w:tc>
          <w:tcPr>
            <w:tcW w:w="33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jc w:val="distribute"/>
              <w:textAlignment w:val="auto"/>
              <w:rPr>
                <w:rFonts w:hint="eastAsia" w:hAnsi="宋体"/>
                <w:spacing w:val="-6"/>
                <w:kern w:val="2"/>
                <w:sz w:val="28"/>
                <w:szCs w:val="28"/>
              </w:rPr>
            </w:pPr>
            <w:r>
              <w:rPr>
                <w:rFonts w:hint="eastAsia" w:hAnsi="宋体"/>
                <w:spacing w:val="-6"/>
                <w:kern w:val="2"/>
                <w:szCs w:val="30"/>
              </w:rPr>
              <w:t>上海市市场监督管理局</w:t>
            </w:r>
          </w:p>
        </w:tc>
        <w:tc>
          <w:tcPr>
            <w:tcW w:w="73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jc w:val="distribute"/>
              <w:textAlignment w:val="auto"/>
              <w:rPr>
                <w:rFonts w:hint="eastAsia" w:hAnsi="宋体"/>
                <w:kern w:val="2"/>
                <w:sz w:val="28"/>
                <w:szCs w:val="28"/>
              </w:rPr>
            </w:pPr>
          </w:p>
        </w:tc>
        <w:tc>
          <w:tcPr>
            <w:tcW w:w="33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jc w:val="distribute"/>
              <w:textAlignment w:val="auto"/>
              <w:rPr>
                <w:rFonts w:hint="eastAsia" w:hAnsi="宋体"/>
                <w:kern w:val="2"/>
                <w:sz w:val="28"/>
                <w:szCs w:val="28"/>
              </w:rPr>
            </w:pPr>
            <w:r>
              <w:rPr>
                <w:rFonts w:hint="eastAsia" w:hAnsi="宋体"/>
                <w:kern w:val="2"/>
                <w:szCs w:val="30"/>
              </w:rPr>
              <w:t>上海市高级人民法院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20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20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20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tbl>
      <w:tblPr>
        <w:tblStyle w:val="5"/>
        <w:tblW w:w="0" w:type="auto"/>
        <w:tblInd w:w="6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5"/>
        <w:gridCol w:w="737"/>
        <w:gridCol w:w="33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</w:trPr>
        <w:tc>
          <w:tcPr>
            <w:tcW w:w="33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jc w:val="distribute"/>
              <w:textAlignment w:val="auto"/>
              <w:rPr>
                <w:rFonts w:hint="eastAsia" w:hAnsi="宋体"/>
                <w:kern w:val="2"/>
                <w:sz w:val="28"/>
                <w:szCs w:val="28"/>
              </w:rPr>
            </w:pPr>
            <w:r>
              <w:rPr>
                <w:rFonts w:hint="eastAsia" w:hAnsi="宋体"/>
                <w:kern w:val="2"/>
                <w:szCs w:val="30"/>
              </w:rPr>
              <w:t>上海市人民检察院</w:t>
            </w:r>
          </w:p>
        </w:tc>
        <w:tc>
          <w:tcPr>
            <w:tcW w:w="73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jc w:val="distribute"/>
              <w:textAlignment w:val="auto"/>
              <w:rPr>
                <w:rFonts w:hint="eastAsia" w:hAnsi="宋体"/>
                <w:kern w:val="2"/>
                <w:sz w:val="28"/>
                <w:szCs w:val="28"/>
              </w:rPr>
            </w:pPr>
          </w:p>
        </w:tc>
        <w:tc>
          <w:tcPr>
            <w:tcW w:w="33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jc w:val="distribute"/>
              <w:textAlignment w:val="auto"/>
              <w:rPr>
                <w:rFonts w:hint="eastAsia" w:hAnsi="宋体"/>
                <w:kern w:val="2"/>
                <w:sz w:val="28"/>
                <w:szCs w:val="28"/>
              </w:rPr>
            </w:pPr>
            <w:r>
              <w:rPr>
                <w:rFonts w:hint="eastAsia" w:hAnsi="宋体"/>
                <w:kern w:val="2"/>
                <w:szCs w:val="30"/>
              </w:rPr>
              <w:t>上海市公安局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20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20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420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tbl>
      <w:tblPr>
        <w:tblStyle w:val="5"/>
        <w:tblW w:w="0" w:type="auto"/>
        <w:tblInd w:w="6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5"/>
        <w:gridCol w:w="737"/>
        <w:gridCol w:w="33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</w:trPr>
        <w:tc>
          <w:tcPr>
            <w:tcW w:w="33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jc w:val="distribute"/>
              <w:textAlignment w:val="auto"/>
              <w:rPr>
                <w:rFonts w:hint="eastAsia" w:hAnsi="宋体"/>
                <w:kern w:val="2"/>
                <w:sz w:val="28"/>
                <w:szCs w:val="28"/>
              </w:rPr>
            </w:pPr>
            <w:r>
              <w:rPr>
                <w:rFonts w:hint="eastAsia" w:hAnsi="宋体"/>
                <w:kern w:val="2"/>
                <w:szCs w:val="30"/>
              </w:rPr>
              <w:t>上海市司法局</w:t>
            </w:r>
          </w:p>
        </w:tc>
        <w:tc>
          <w:tcPr>
            <w:tcW w:w="73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jc w:val="distribute"/>
              <w:textAlignment w:val="auto"/>
              <w:rPr>
                <w:rFonts w:hint="eastAsia" w:hAnsi="宋体"/>
                <w:kern w:val="2"/>
                <w:sz w:val="28"/>
                <w:szCs w:val="28"/>
              </w:rPr>
            </w:pPr>
          </w:p>
        </w:tc>
        <w:tc>
          <w:tcPr>
            <w:tcW w:w="33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jc w:val="distribute"/>
              <w:textAlignment w:val="auto"/>
              <w:rPr>
                <w:rFonts w:hint="eastAsia" w:hAnsi="宋体"/>
                <w:spacing w:val="-6"/>
                <w:w w:val="93"/>
                <w:kern w:val="2"/>
                <w:sz w:val="32"/>
                <w:szCs w:val="30"/>
              </w:rPr>
            </w:pPr>
            <w:r>
              <w:rPr>
                <w:rFonts w:hint="eastAsia" w:hAnsi="宋体"/>
                <w:spacing w:val="-6"/>
                <w:w w:val="93"/>
                <w:kern w:val="2"/>
                <w:sz w:val="32"/>
                <w:szCs w:val="30"/>
              </w:rPr>
              <w:t>上海市发展和改革委员会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84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84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84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tbl>
      <w:tblPr>
        <w:tblStyle w:val="5"/>
        <w:tblW w:w="0" w:type="auto"/>
        <w:tblInd w:w="6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5"/>
        <w:gridCol w:w="737"/>
        <w:gridCol w:w="33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</w:trPr>
        <w:tc>
          <w:tcPr>
            <w:tcW w:w="33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distribute"/>
              <w:textAlignment w:val="auto"/>
              <w:rPr>
                <w:rFonts w:hint="eastAsia" w:hAnsi="宋体"/>
                <w:spacing w:val="-6"/>
                <w:kern w:val="2"/>
                <w:szCs w:val="30"/>
              </w:rPr>
            </w:pPr>
            <w:r>
              <w:rPr>
                <w:rFonts w:hint="eastAsia" w:hAnsi="宋体"/>
                <w:spacing w:val="-6"/>
                <w:kern w:val="2"/>
                <w:szCs w:val="30"/>
              </w:rPr>
              <w:t>中共上海市委网络安全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distribute"/>
              <w:textAlignment w:val="auto"/>
              <w:rPr>
                <w:rFonts w:hint="eastAsia" w:hAnsi="宋体"/>
                <w:spacing w:val="-6"/>
                <w:kern w:val="2"/>
                <w:szCs w:val="30"/>
              </w:rPr>
            </w:pPr>
            <w:r>
              <w:rPr>
                <w:rFonts w:hint="eastAsia" w:hAnsi="宋体"/>
                <w:spacing w:val="-6"/>
                <w:kern w:val="2"/>
                <w:szCs w:val="30"/>
              </w:rPr>
              <w:t>和信息化委员会办公室</w:t>
            </w:r>
          </w:p>
        </w:tc>
        <w:tc>
          <w:tcPr>
            <w:tcW w:w="73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jc w:val="distribute"/>
              <w:textAlignment w:val="auto"/>
              <w:rPr>
                <w:rFonts w:hint="eastAsia" w:hAnsi="宋体"/>
                <w:kern w:val="2"/>
                <w:sz w:val="28"/>
                <w:szCs w:val="28"/>
              </w:rPr>
            </w:pPr>
          </w:p>
        </w:tc>
        <w:tc>
          <w:tcPr>
            <w:tcW w:w="33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distribute"/>
              <w:textAlignment w:val="auto"/>
              <w:rPr>
                <w:rFonts w:hint="eastAsia" w:hAnsi="宋体"/>
                <w:kern w:val="2"/>
                <w:sz w:val="28"/>
                <w:szCs w:val="28"/>
              </w:rPr>
            </w:pPr>
            <w:r>
              <w:rPr>
                <w:rFonts w:hint="eastAsia" w:hAnsi="宋体"/>
                <w:kern w:val="2"/>
                <w:szCs w:val="30"/>
              </w:rPr>
              <w:t>上海市信访办公室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1247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202</w:t>
      </w:r>
      <w:r>
        <w:rPr>
          <w:rFonts w:hint="default" w:hAnsi="宋体"/>
          <w:kern w:val="2"/>
          <w:szCs w:val="30"/>
          <w:lang w:val="en"/>
        </w:rPr>
        <w:t>5</w:t>
      </w:r>
      <w:r>
        <w:rPr>
          <w:rFonts w:hint="eastAsia" w:hAnsi="宋体"/>
          <w:kern w:val="2"/>
          <w:szCs w:val="30"/>
        </w:rPr>
        <w:t>年</w:t>
      </w:r>
      <w:r>
        <w:rPr>
          <w:rFonts w:hint="eastAsia" w:hAnsi="宋体"/>
          <w:kern w:val="2"/>
          <w:szCs w:val="30"/>
          <w:lang w:val="en-US" w:eastAsia="zh-CN"/>
        </w:rPr>
        <w:t>10</w:t>
      </w:r>
      <w:r>
        <w:rPr>
          <w:rFonts w:hint="eastAsia" w:hAnsi="宋体"/>
          <w:kern w:val="2"/>
          <w:szCs w:val="30"/>
        </w:rPr>
        <w:t>月</w:t>
      </w:r>
      <w:r>
        <w:rPr>
          <w:rFonts w:hint="eastAsia" w:hAnsi="宋体"/>
          <w:kern w:val="2"/>
          <w:szCs w:val="30"/>
          <w:lang w:val="en-US" w:eastAsia="zh-CN"/>
        </w:rPr>
        <w:t>31</w:t>
      </w:r>
      <w:r>
        <w:rPr>
          <w:rFonts w:hint="eastAsia" w:hAnsi="宋体"/>
          <w:kern w:val="2"/>
          <w:szCs w:val="30"/>
        </w:rPr>
        <w:t>日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hAnsi="宋体"/>
          <w:kern w:val="2"/>
          <w:szCs w:val="30"/>
          <w:lang w:eastAsia="zh-CN"/>
        </w:rPr>
        <w:t>（此件公开发布）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关于依法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  <w:t>治理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牟利性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职业索赔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  <w:t>、职业举报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行为的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  <w:t>若干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意见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第一条</w:t>
      </w:r>
      <w:r>
        <w:rPr>
          <w:rFonts w:hint="eastAsia" w:hAnsi="宋体"/>
          <w:kern w:val="2"/>
          <w:szCs w:val="30"/>
          <w:lang w:val="en-US" w:eastAsia="zh-CN"/>
        </w:rPr>
        <w:t>　为进一步营造良好的市场环境、营商环境和消费环境，有效应对“以打假为名、行牟利之实”的职业索赔、职业举报行为，促进社会诚信建设，根据《中华人民共和国消费者权益保护法》《上海市消费者权益保护条例》《上海市优化营商环境条例》等法律法规，结合本市执法司法工作实际，制定本意见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第二条</w:t>
      </w:r>
      <w:r>
        <w:rPr>
          <w:rFonts w:hint="eastAsia" w:hAnsi="宋体"/>
          <w:kern w:val="2"/>
          <w:szCs w:val="30"/>
          <w:lang w:val="en-US" w:eastAsia="zh-CN"/>
        </w:rPr>
        <w:t>　本意见所称牟利性职业索赔、职业举报，是指非为生活消费需要购买、使用商品或者接受服务，以“打假”“维权”为名，滥用投诉、举报、复议、诉讼、信访等权利，牟取不正当利益的</w:t>
      </w:r>
      <w:r>
        <w:rPr>
          <w:rFonts w:hint="eastAsia" w:hAnsi="宋体"/>
          <w:kern w:val="2"/>
          <w:szCs w:val="30"/>
          <w:lang w:eastAsia="zh-CN"/>
        </w:rPr>
        <w:t>行为。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第三条</w:t>
      </w:r>
      <w:r>
        <w:rPr>
          <w:rFonts w:hint="eastAsia" w:hAnsi="宋体"/>
          <w:kern w:val="2"/>
          <w:szCs w:val="30"/>
          <w:lang w:val="en-US" w:eastAsia="zh-CN"/>
        </w:rPr>
        <w:t>　本市倡导、督促经营主体依法合规经营，坚持从严查处制假售假、危害食品药品安全等违法犯罪行为。支持和鼓励消费者通过投诉举报合理维权，依法保障消费者合法权益。依法治理牟利性职业索赔、职业举报行为，依法打击以“打假”“维权”为名实施的敲诈勒索、诈骗、</w:t>
      </w:r>
      <w:r>
        <w:rPr>
          <w:rFonts w:hint="eastAsia" w:hAnsi="宋体"/>
          <w:kern w:val="2"/>
          <w:szCs w:val="30"/>
          <w:lang w:eastAsia="zh-CN"/>
        </w:rPr>
        <w:t>强迫交易、</w:t>
      </w:r>
      <w:r>
        <w:rPr>
          <w:rFonts w:hint="eastAsia" w:hAnsi="宋体"/>
          <w:kern w:val="2"/>
          <w:szCs w:val="30"/>
          <w:lang w:val="en-US" w:eastAsia="zh-CN"/>
        </w:rPr>
        <w:t>虚假诉讼、寻衅滋事等违法犯罪行为。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第四条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</w:rPr>
        <w:t>对牟利性职业索赔、职业举报行为，</w:t>
      </w:r>
      <w:r>
        <w:rPr>
          <w:rFonts w:hint="eastAsia" w:hAnsi="宋体"/>
          <w:kern w:val="2"/>
          <w:szCs w:val="30"/>
          <w:lang w:eastAsia="zh-CN"/>
        </w:rPr>
        <w:t>可以结合以</w:t>
      </w:r>
      <w:r>
        <w:rPr>
          <w:rFonts w:hint="eastAsia" w:hAnsi="宋体"/>
          <w:kern w:val="2"/>
          <w:szCs w:val="30"/>
        </w:rPr>
        <w:t>下</w:t>
      </w:r>
      <w:r>
        <w:rPr>
          <w:rFonts w:hint="eastAsia" w:hAnsi="宋体"/>
          <w:kern w:val="2"/>
          <w:szCs w:val="30"/>
          <w:lang w:eastAsia="zh-CN"/>
        </w:rPr>
        <w:t>行为</w:t>
      </w:r>
      <w:r>
        <w:rPr>
          <w:rFonts w:hint="eastAsia" w:hAnsi="宋体"/>
          <w:kern w:val="2"/>
          <w:szCs w:val="30"/>
        </w:rPr>
        <w:t>特征进行综合判定：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（一）</w:t>
      </w:r>
      <w:r>
        <w:rPr>
          <w:rFonts w:hint="eastAsia" w:hAnsi="宋体"/>
          <w:spacing w:val="-4"/>
          <w:kern w:val="2"/>
          <w:sz w:val="32"/>
          <w:szCs w:val="30"/>
        </w:rPr>
        <w:t>购买、使用商品或者接受服务的数量明显超出合理生活消</w:t>
      </w:r>
      <w:r>
        <w:rPr>
          <w:rFonts w:hint="eastAsia" w:hAnsi="宋体"/>
          <w:kern w:val="2"/>
          <w:szCs w:val="30"/>
        </w:rPr>
        <w:t>费需要；短期内向同一</w:t>
      </w:r>
      <w:r>
        <w:rPr>
          <w:rFonts w:hint="eastAsia" w:hAnsi="宋体"/>
          <w:kern w:val="2"/>
          <w:szCs w:val="30"/>
          <w:lang w:val="en-US" w:eastAsia="zh-CN"/>
        </w:rPr>
        <w:t>生产</w:t>
      </w:r>
      <w:r>
        <w:rPr>
          <w:rFonts w:hint="eastAsia" w:hAnsi="宋体"/>
          <w:kern w:val="2"/>
          <w:szCs w:val="30"/>
        </w:rPr>
        <w:t>经营者或者同行业</w:t>
      </w:r>
      <w:r>
        <w:rPr>
          <w:rFonts w:hint="eastAsia" w:hAnsi="宋体"/>
          <w:kern w:val="2"/>
          <w:szCs w:val="30"/>
          <w:lang w:val="en-US" w:eastAsia="zh-CN"/>
        </w:rPr>
        <w:t>生产</w:t>
      </w:r>
      <w:r>
        <w:rPr>
          <w:rFonts w:hint="eastAsia" w:hAnsi="宋体"/>
          <w:kern w:val="2"/>
          <w:szCs w:val="30"/>
        </w:rPr>
        <w:t>经营者反复购买相同或者相似的商品、接受相同或者相似服务。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（二）</w:t>
      </w:r>
      <w:r>
        <w:rPr>
          <w:rFonts w:hint="eastAsia" w:hAnsi="宋体"/>
          <w:spacing w:val="-4"/>
          <w:kern w:val="2"/>
          <w:sz w:val="32"/>
          <w:szCs w:val="30"/>
        </w:rPr>
        <w:t>明知或者应知商品或者服务存在质量、标签等问题，仍然</w:t>
      </w:r>
      <w:r>
        <w:rPr>
          <w:rFonts w:hint="eastAsia" w:hAnsi="宋体"/>
          <w:kern w:val="2"/>
          <w:szCs w:val="30"/>
        </w:rPr>
        <w:t>多次购买商品或接受服务。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val="en-US" w:eastAsia="zh-CN"/>
        </w:rPr>
        <w:t>（三）</w:t>
      </w:r>
      <w:r>
        <w:rPr>
          <w:rFonts w:hint="eastAsia" w:hAnsi="宋体"/>
          <w:spacing w:val="-4"/>
          <w:kern w:val="2"/>
          <w:sz w:val="32"/>
          <w:szCs w:val="30"/>
        </w:rPr>
        <w:t>投诉举报内容、</w:t>
      </w: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行政</w:t>
      </w:r>
      <w:r>
        <w:rPr>
          <w:rFonts w:hint="eastAsia" w:hAnsi="宋体"/>
          <w:spacing w:val="-4"/>
          <w:kern w:val="2"/>
          <w:sz w:val="32"/>
          <w:szCs w:val="30"/>
        </w:rPr>
        <w:t>复议申请</w:t>
      </w: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、诉讼请求</w:t>
      </w:r>
      <w:r>
        <w:rPr>
          <w:rFonts w:hint="eastAsia" w:hAnsi="宋体"/>
          <w:spacing w:val="-4"/>
          <w:kern w:val="2"/>
          <w:sz w:val="32"/>
          <w:szCs w:val="30"/>
        </w:rPr>
        <w:t>等呈现格式化、</w:t>
      </w:r>
      <w:r>
        <w:rPr>
          <w:rFonts w:hint="eastAsia" w:hAnsi="宋体"/>
          <w:kern w:val="2"/>
          <w:szCs w:val="30"/>
        </w:rPr>
        <w:t>模板化特点；举报人</w:t>
      </w:r>
      <w:r>
        <w:rPr>
          <w:rFonts w:hint="eastAsia" w:hAnsi="宋体"/>
          <w:kern w:val="2"/>
          <w:szCs w:val="30"/>
          <w:lang w:val="en-US" w:eastAsia="zh-CN"/>
        </w:rPr>
        <w:t>存在</w:t>
      </w:r>
      <w:r>
        <w:rPr>
          <w:rFonts w:hint="eastAsia" w:hAnsi="宋体"/>
          <w:kern w:val="2"/>
          <w:szCs w:val="30"/>
        </w:rPr>
        <w:t>明确提出可以将自身信息告知被举报</w:t>
      </w:r>
      <w:r>
        <w:rPr>
          <w:rFonts w:hint="eastAsia" w:hAnsi="宋体"/>
          <w:kern w:val="2"/>
          <w:szCs w:val="30"/>
          <w:lang w:eastAsia="zh-CN"/>
        </w:rPr>
        <w:t>的</w:t>
      </w:r>
      <w:r>
        <w:rPr>
          <w:rFonts w:hint="eastAsia" w:hAnsi="宋体"/>
          <w:kern w:val="2"/>
          <w:szCs w:val="30"/>
          <w:lang w:val="en-US" w:eastAsia="zh-CN"/>
        </w:rPr>
        <w:t>生产经营者等</w:t>
      </w:r>
      <w:r>
        <w:rPr>
          <w:rFonts w:hint="eastAsia" w:hAnsi="宋体"/>
          <w:kern w:val="2"/>
          <w:szCs w:val="30"/>
        </w:rPr>
        <w:t>明显不符合正常举报逻辑</w:t>
      </w:r>
      <w:r>
        <w:rPr>
          <w:rFonts w:hint="eastAsia" w:hAnsi="宋体"/>
          <w:kern w:val="2"/>
          <w:szCs w:val="30"/>
          <w:lang w:val="en-US" w:eastAsia="zh-CN"/>
        </w:rPr>
        <w:t>的行为</w:t>
      </w:r>
      <w:r>
        <w:rPr>
          <w:rFonts w:hint="eastAsia" w:hAnsi="宋体"/>
          <w:kern w:val="2"/>
          <w:szCs w:val="30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（四）</w:t>
      </w:r>
      <w:r>
        <w:rPr>
          <w:rFonts w:hint="eastAsia" w:hAnsi="宋体"/>
          <w:spacing w:val="-4"/>
          <w:kern w:val="2"/>
          <w:sz w:val="32"/>
          <w:szCs w:val="30"/>
        </w:rPr>
        <w:t>冒用他人名义投诉举报，不配合核实验证身份信息；投诉</w:t>
      </w:r>
      <w:r>
        <w:rPr>
          <w:rFonts w:hint="eastAsia" w:hAnsi="宋体"/>
          <w:kern w:val="2"/>
          <w:szCs w:val="30"/>
        </w:rPr>
        <w:t>不提供真实姓名、公民身份号码，提供的公民身份号码不实、通讯地址不实，或者提供的信息过于笼统。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（五）</w:t>
      </w:r>
      <w:r>
        <w:rPr>
          <w:rFonts w:hint="eastAsia" w:hAnsi="宋体"/>
          <w:spacing w:val="-4"/>
          <w:kern w:val="2"/>
          <w:sz w:val="32"/>
          <w:szCs w:val="30"/>
        </w:rPr>
        <w:t>不同投诉举报人存在使用同一手机号码、同一联系地址，</w:t>
      </w:r>
      <w:r>
        <w:rPr>
          <w:rFonts w:hint="eastAsia" w:hAnsi="宋体"/>
          <w:kern w:val="2"/>
          <w:szCs w:val="30"/>
        </w:rPr>
        <w:t>提供相同的购物凭证、订单号，或者存在利用同一证据材料投诉举报不同</w:t>
      </w:r>
      <w:r>
        <w:rPr>
          <w:rFonts w:hint="eastAsia" w:hAnsi="宋体"/>
          <w:kern w:val="2"/>
          <w:szCs w:val="30"/>
          <w:lang w:val="en-US" w:eastAsia="zh-CN"/>
        </w:rPr>
        <w:t>生产</w:t>
      </w:r>
      <w:r>
        <w:rPr>
          <w:rFonts w:hint="eastAsia" w:hAnsi="宋体"/>
          <w:kern w:val="2"/>
          <w:szCs w:val="30"/>
        </w:rPr>
        <w:t>经营者等组织策划情形。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hAnsi="宋体"/>
          <w:kern w:val="2"/>
          <w:szCs w:val="30"/>
          <w:lang w:val="en-US" w:eastAsia="zh-CN"/>
        </w:rPr>
        <w:t>（六）</w:t>
      </w: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同一主体提出或者撤回投诉举报等数量明显异常，主要指</w:t>
      </w:r>
      <w:r>
        <w:rPr>
          <w:rFonts w:hint="eastAsia" w:hAnsi="宋体"/>
          <w:kern w:val="2"/>
          <w:szCs w:val="30"/>
        </w:rPr>
        <w:t>一年内向本市行政部门提出或者撤回投诉举报10次以上（同一事项的重复诉求除外）；一年内通过全国12315平台提出或者撤回投诉举报30次以上（同一事项的重复诉求除外）。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val="en-US" w:eastAsia="zh-CN"/>
        </w:rPr>
        <w:t>（七）</w:t>
      </w:r>
      <w:r>
        <w:rPr>
          <w:rFonts w:hint="eastAsia" w:hAnsi="宋体"/>
          <w:spacing w:val="-4"/>
          <w:kern w:val="2"/>
          <w:sz w:val="32"/>
          <w:szCs w:val="30"/>
        </w:rPr>
        <w:t>未因购买、使用商品或者接受服务造成人身、财产损害，</w:t>
      </w:r>
      <w:r>
        <w:rPr>
          <w:rFonts w:hint="eastAsia" w:hAnsi="宋体"/>
          <w:kern w:val="2"/>
          <w:szCs w:val="30"/>
        </w:rPr>
        <w:t>仅以证照问题或者以广告宣传、标识标签、说明书等轻微违法行为为由向</w:t>
      </w:r>
      <w:r>
        <w:rPr>
          <w:rFonts w:hint="eastAsia" w:hAnsi="宋体"/>
          <w:kern w:val="2"/>
          <w:szCs w:val="30"/>
          <w:lang w:val="en-US" w:eastAsia="zh-CN"/>
        </w:rPr>
        <w:t>生产</w:t>
      </w:r>
      <w:r>
        <w:rPr>
          <w:rFonts w:hint="eastAsia" w:hAnsi="宋体"/>
          <w:kern w:val="2"/>
          <w:szCs w:val="30"/>
        </w:rPr>
        <w:t>经营者索要财物。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（</w:t>
      </w: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八</w:t>
      </w: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）</w:t>
      </w:r>
      <w:r>
        <w:rPr>
          <w:rFonts w:hint="eastAsia" w:hAnsi="宋体"/>
          <w:spacing w:val="-4"/>
          <w:kern w:val="2"/>
          <w:sz w:val="32"/>
          <w:szCs w:val="30"/>
        </w:rPr>
        <w:t>无实际消费关系，以投诉举报、对外曝光、恶意差评等方</w:t>
      </w:r>
      <w:r>
        <w:rPr>
          <w:rFonts w:hint="eastAsia" w:hAnsi="宋体"/>
          <w:kern w:val="2"/>
          <w:szCs w:val="30"/>
        </w:rPr>
        <w:t>式要挟</w:t>
      </w:r>
      <w:r>
        <w:rPr>
          <w:rFonts w:hint="eastAsia" w:hAnsi="宋体"/>
          <w:kern w:val="2"/>
          <w:szCs w:val="30"/>
          <w:lang w:val="en-US" w:eastAsia="zh-CN"/>
        </w:rPr>
        <w:t>生产</w:t>
      </w:r>
      <w:r>
        <w:rPr>
          <w:rFonts w:hint="eastAsia" w:hAnsi="宋体"/>
          <w:kern w:val="2"/>
          <w:szCs w:val="30"/>
        </w:rPr>
        <w:t>经营者给付财物。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（九）</w:t>
      </w:r>
      <w:r>
        <w:rPr>
          <w:rFonts w:hint="eastAsia" w:hAnsi="宋体"/>
          <w:spacing w:val="-4"/>
          <w:kern w:val="2"/>
          <w:sz w:val="32"/>
          <w:szCs w:val="30"/>
        </w:rPr>
        <w:t>通过夹带、掉包、造假、篡改商品信息、捏造事实等方式</w:t>
      </w:r>
      <w:r>
        <w:rPr>
          <w:rFonts w:hint="eastAsia" w:hAnsi="宋体"/>
          <w:kern w:val="2"/>
          <w:szCs w:val="30"/>
        </w:rPr>
        <w:t>进行索赔或举报；反复滋扰</w:t>
      </w:r>
      <w:r>
        <w:rPr>
          <w:rFonts w:hint="eastAsia" w:hAnsi="宋体"/>
          <w:kern w:val="2"/>
          <w:szCs w:val="30"/>
          <w:lang w:val="en-US" w:eastAsia="zh-CN"/>
        </w:rPr>
        <w:t>生产</w:t>
      </w:r>
      <w:r>
        <w:rPr>
          <w:rFonts w:hint="eastAsia" w:hAnsi="宋体"/>
          <w:kern w:val="2"/>
          <w:szCs w:val="30"/>
        </w:rPr>
        <w:t>经营者，以顾问费、咨询费、服务费等名义或者以“软暴力”手段向</w:t>
      </w:r>
      <w:r>
        <w:rPr>
          <w:rFonts w:hint="eastAsia" w:hAnsi="宋体"/>
          <w:kern w:val="2"/>
          <w:szCs w:val="30"/>
          <w:lang w:val="en-US" w:eastAsia="zh-CN"/>
        </w:rPr>
        <w:t>生产</w:t>
      </w:r>
      <w:r>
        <w:rPr>
          <w:rFonts w:hint="eastAsia" w:hAnsi="宋体"/>
          <w:kern w:val="2"/>
          <w:szCs w:val="30"/>
        </w:rPr>
        <w:t>经营者索要财物。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eastAsia="zh-CN"/>
        </w:rPr>
        <w:t>（十</w:t>
      </w:r>
      <w:bookmarkStart w:id="1" w:name="_GoBack"/>
      <w:bookmarkEnd w:id="1"/>
      <w:r>
        <w:rPr>
          <w:rFonts w:hint="eastAsia" w:hAnsi="宋体"/>
          <w:kern w:val="2"/>
          <w:szCs w:val="30"/>
          <w:lang w:eastAsia="zh-CN"/>
        </w:rPr>
        <w:t>）</w:t>
      </w:r>
      <w:r>
        <w:rPr>
          <w:rFonts w:hint="eastAsia" w:hAnsi="宋体"/>
          <w:kern w:val="2"/>
          <w:szCs w:val="30"/>
        </w:rPr>
        <w:t>其他符合以牟利为目的购买商品或者接受服务等职业索赔、职业举报特征的行为。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第五条</w:t>
      </w:r>
      <w:r>
        <w:rPr>
          <w:rFonts w:hint="eastAsia" w:hAnsi="宋体"/>
          <w:kern w:val="2"/>
          <w:szCs w:val="30"/>
          <w:lang w:val="en-US" w:eastAsia="zh-CN"/>
        </w:rPr>
        <w:t>　根据《上海市消费者权益保护条例》相关规定，对符合本意见第四条列举的行为特征，经综合研判确属牟利性职业索赔、职业举报行为人的，可以列入本市投诉举报异常名录（以下简称“异常名录”）。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hAnsi="宋体"/>
          <w:kern w:val="2"/>
          <w:szCs w:val="30"/>
          <w:lang w:val="en-US" w:eastAsia="zh-CN"/>
        </w:rPr>
        <w:t>投诉举报涉及生产经营者严重违法、系统性风险以及内部举报人举报的，依法予以处理，相关投诉举报行为人不列入异常名录。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第六条</w:t>
      </w:r>
      <w:r>
        <w:rPr>
          <w:rFonts w:hint="eastAsia" w:hAnsi="宋体"/>
          <w:kern w:val="2"/>
          <w:szCs w:val="30"/>
          <w:lang w:val="en-US" w:eastAsia="zh-CN"/>
        </w:rPr>
        <w:t>　投诉举报处理部门负责异常名录的审核管理，落实区级初审、市级复核等相关工作机制，严格区分牟利性职业索赔、职业举报与消费者正常行使权利的行为，依法保护消费者合法权益。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建立异常名录动态更新机制，</w:t>
      </w:r>
      <w:r>
        <w:rPr>
          <w:rFonts w:hint="eastAsia" w:hAnsi="宋体"/>
          <w:kern w:val="2"/>
          <w:szCs w:val="30"/>
          <w:lang w:eastAsia="zh-CN"/>
        </w:rPr>
        <w:t>经审查</w:t>
      </w:r>
      <w:r>
        <w:rPr>
          <w:rFonts w:hint="eastAsia" w:hAnsi="宋体"/>
          <w:kern w:val="2"/>
          <w:szCs w:val="30"/>
          <w:lang w:val="en-US" w:eastAsia="zh-CN"/>
        </w:rPr>
        <w:t>发现异常名录人员</w:t>
      </w:r>
      <w:r>
        <w:rPr>
          <w:rFonts w:hint="eastAsia" w:hAnsi="宋体"/>
          <w:kern w:val="2"/>
          <w:szCs w:val="30"/>
        </w:rPr>
        <w:t>不</w:t>
      </w:r>
      <w:r>
        <w:rPr>
          <w:rFonts w:hint="eastAsia" w:hAnsi="宋体"/>
          <w:kern w:val="2"/>
          <w:szCs w:val="30"/>
          <w:lang w:val="en-US" w:eastAsia="zh-CN"/>
        </w:rPr>
        <w:t>符合</w:t>
      </w:r>
      <w:r>
        <w:rPr>
          <w:rFonts w:hint="eastAsia" w:hAnsi="宋体"/>
          <w:kern w:val="2"/>
          <w:szCs w:val="30"/>
        </w:rPr>
        <w:t>牟利性职业索赔、职业举报行为</w:t>
      </w:r>
      <w:r>
        <w:rPr>
          <w:rFonts w:hint="eastAsia" w:hAnsi="宋体"/>
          <w:kern w:val="2"/>
          <w:szCs w:val="30"/>
          <w:lang w:val="en-US" w:eastAsia="zh-CN"/>
        </w:rPr>
        <w:t>特征的</w:t>
      </w:r>
      <w:r>
        <w:rPr>
          <w:rFonts w:hint="eastAsia" w:hAnsi="宋体"/>
          <w:kern w:val="2"/>
          <w:szCs w:val="30"/>
        </w:rPr>
        <w:t>，及时移出异常名录。异常名录人员</w:t>
      </w:r>
      <w:r>
        <w:rPr>
          <w:rFonts w:hint="eastAsia" w:hAnsi="宋体"/>
          <w:kern w:val="2"/>
          <w:szCs w:val="30"/>
          <w:lang w:eastAsia="zh-CN"/>
        </w:rPr>
        <w:t>自被列入异常名录起一</w:t>
      </w:r>
      <w:r>
        <w:rPr>
          <w:rFonts w:hint="eastAsia" w:hAnsi="宋体"/>
          <w:kern w:val="2"/>
          <w:szCs w:val="30"/>
        </w:rPr>
        <w:t>年内未再</w:t>
      </w:r>
      <w:r>
        <w:rPr>
          <w:rFonts w:hint="eastAsia" w:hAnsi="宋体"/>
          <w:kern w:val="2"/>
          <w:szCs w:val="30"/>
          <w:lang w:eastAsia="zh-CN"/>
        </w:rPr>
        <w:t>实施</w:t>
      </w:r>
      <w:r>
        <w:rPr>
          <w:rFonts w:hint="eastAsia" w:hAnsi="宋体"/>
          <w:kern w:val="2"/>
          <w:szCs w:val="30"/>
        </w:rPr>
        <w:t>牟利性职业索赔、职业举报行为的，</w:t>
      </w:r>
      <w:r>
        <w:rPr>
          <w:rFonts w:hint="eastAsia" w:hAnsi="宋体"/>
          <w:kern w:val="2"/>
          <w:szCs w:val="30"/>
          <w:lang w:eastAsia="zh-CN"/>
        </w:rPr>
        <w:t>一般应</w:t>
      </w:r>
      <w:r>
        <w:rPr>
          <w:rFonts w:hint="eastAsia" w:hAnsi="宋体"/>
          <w:kern w:val="2"/>
          <w:szCs w:val="30"/>
        </w:rPr>
        <w:t>移出异常名录。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第七条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</w:rPr>
        <w:t>异常名录的内容主要包括：姓名、公民身份号码、联系电话、联系地址，提出投诉举报、政府信息公开、行政复议、民事诉讼、行政诉讼、信访的数量，以及主要反映问题、主要涉及领域或者商品服务类别等信息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第八条</w:t>
      </w:r>
      <w:r>
        <w:rPr>
          <w:rFonts w:hint="eastAsia" w:hAnsi="宋体"/>
          <w:kern w:val="2"/>
          <w:szCs w:val="30"/>
          <w:lang w:val="en-US" w:eastAsia="zh-CN"/>
        </w:rPr>
        <w:t>　投诉举报处理</w:t>
      </w:r>
      <w:r>
        <w:rPr>
          <w:rFonts w:hint="eastAsia" w:hAnsi="宋体"/>
          <w:kern w:val="2"/>
          <w:szCs w:val="30"/>
        </w:rPr>
        <w:t>部门</w:t>
      </w:r>
      <w:r>
        <w:rPr>
          <w:rFonts w:hint="eastAsia" w:hAnsi="宋体"/>
          <w:kern w:val="2"/>
          <w:szCs w:val="30"/>
          <w:lang w:val="en-US" w:eastAsia="zh-CN"/>
        </w:rPr>
        <w:t>应当</w:t>
      </w:r>
      <w:r>
        <w:rPr>
          <w:rFonts w:hint="eastAsia" w:hAnsi="宋体"/>
          <w:kern w:val="2"/>
          <w:szCs w:val="30"/>
        </w:rPr>
        <w:t>与法院、检察</w:t>
      </w:r>
      <w:r>
        <w:rPr>
          <w:rFonts w:hint="eastAsia" w:hAnsi="宋体"/>
          <w:kern w:val="2"/>
          <w:szCs w:val="30"/>
          <w:lang w:eastAsia="zh-CN"/>
        </w:rPr>
        <w:t>院</w:t>
      </w:r>
      <w:r>
        <w:rPr>
          <w:rFonts w:hint="eastAsia" w:hAnsi="宋体"/>
          <w:kern w:val="2"/>
          <w:szCs w:val="30"/>
        </w:rPr>
        <w:t>、公安、</w:t>
      </w:r>
      <w:r>
        <w:rPr>
          <w:rFonts w:hint="eastAsia" w:hAnsi="宋体"/>
          <w:kern w:val="2"/>
          <w:szCs w:val="30"/>
          <w:lang w:eastAsia="zh-CN"/>
        </w:rPr>
        <w:t>司法行政、发展改革、政府信息公开</w:t>
      </w:r>
      <w:r>
        <w:rPr>
          <w:rFonts w:hint="eastAsia" w:hAnsi="宋体"/>
          <w:kern w:val="2"/>
          <w:szCs w:val="30"/>
        </w:rPr>
        <w:t>、</w:t>
      </w:r>
      <w:r>
        <w:rPr>
          <w:rFonts w:hint="eastAsia" w:hAnsi="宋体"/>
          <w:kern w:val="2"/>
          <w:szCs w:val="30"/>
          <w:lang w:eastAsia="zh-CN"/>
        </w:rPr>
        <w:t>网信、</w:t>
      </w:r>
      <w:r>
        <w:rPr>
          <w:rFonts w:hint="eastAsia" w:hAnsi="宋体"/>
          <w:kern w:val="2"/>
          <w:szCs w:val="30"/>
        </w:rPr>
        <w:t>信访、</w:t>
      </w:r>
      <w:r>
        <w:rPr>
          <w:rFonts w:hint="eastAsia" w:hAnsi="宋体"/>
          <w:kern w:val="2"/>
          <w:szCs w:val="30"/>
          <w:lang w:val="en-US" w:eastAsia="zh-CN"/>
        </w:rPr>
        <w:t>市民服务</w:t>
      </w:r>
      <w:r>
        <w:rPr>
          <w:rFonts w:hint="eastAsia" w:hAnsi="宋体"/>
          <w:kern w:val="2"/>
          <w:szCs w:val="30"/>
        </w:rPr>
        <w:t>热线</w:t>
      </w:r>
      <w:r>
        <w:rPr>
          <w:rFonts w:hint="eastAsia" w:hAnsi="宋体"/>
          <w:kern w:val="2"/>
          <w:szCs w:val="30"/>
          <w:lang w:val="en-US" w:eastAsia="zh-CN"/>
        </w:rPr>
        <w:t>管理</w:t>
      </w:r>
      <w:r>
        <w:rPr>
          <w:rFonts w:hint="eastAsia" w:hAnsi="宋体"/>
          <w:kern w:val="2"/>
          <w:szCs w:val="30"/>
        </w:rPr>
        <w:t>等部门建立异常名录信息互通共享机制，及时收集分析、动态更新异常名录，实现各部门对</w:t>
      </w:r>
      <w:r>
        <w:rPr>
          <w:rFonts w:hint="eastAsia" w:hAnsi="宋体"/>
          <w:kern w:val="2"/>
          <w:szCs w:val="30"/>
          <w:lang w:val="en-US" w:eastAsia="zh-CN"/>
        </w:rPr>
        <w:t>牟利性职业索赔、职业举报行为</w:t>
      </w:r>
      <w:r>
        <w:rPr>
          <w:rFonts w:hint="eastAsia" w:hAnsi="宋体"/>
          <w:kern w:val="2"/>
          <w:szCs w:val="30"/>
        </w:rPr>
        <w:t>的依法综合治理。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第九条</w:t>
      </w:r>
      <w:r>
        <w:rPr>
          <w:rFonts w:hint="eastAsia" w:hAnsi="宋体"/>
          <w:kern w:val="2"/>
          <w:szCs w:val="30"/>
          <w:lang w:val="en-US" w:eastAsia="zh-CN"/>
        </w:rPr>
        <w:t>　各部门在</w:t>
      </w:r>
      <w:r>
        <w:rPr>
          <w:rFonts w:hint="eastAsia" w:hAnsi="宋体"/>
          <w:kern w:val="2"/>
          <w:szCs w:val="30"/>
        </w:rPr>
        <w:t>收集、共享和使用异常名录信息过程中，应当依法保护个人信息和隐私。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第十条</w:t>
      </w:r>
      <w:r>
        <w:rPr>
          <w:rFonts w:hint="eastAsia" w:hAnsi="宋体"/>
          <w:kern w:val="2"/>
          <w:szCs w:val="30"/>
          <w:lang w:val="en-US" w:eastAsia="zh-CN"/>
        </w:rPr>
        <w:t>　本市建立健全依法治理牟利性职业索赔、职业举报工作机制，统筹协调市场监管、</w:t>
      </w:r>
      <w:r>
        <w:rPr>
          <w:rFonts w:hint="eastAsia" w:hAnsi="宋体"/>
          <w:kern w:val="2"/>
          <w:szCs w:val="30"/>
        </w:rPr>
        <w:t>法院、检察</w:t>
      </w:r>
      <w:r>
        <w:rPr>
          <w:rFonts w:hint="eastAsia" w:hAnsi="宋体"/>
          <w:kern w:val="2"/>
          <w:szCs w:val="30"/>
          <w:lang w:eastAsia="zh-CN"/>
        </w:rPr>
        <w:t>院</w:t>
      </w:r>
      <w:r>
        <w:rPr>
          <w:rFonts w:hint="eastAsia" w:hAnsi="宋体"/>
          <w:kern w:val="2"/>
          <w:szCs w:val="30"/>
        </w:rPr>
        <w:t>、公安、</w:t>
      </w:r>
      <w:r>
        <w:rPr>
          <w:rFonts w:hint="eastAsia" w:hAnsi="宋体"/>
          <w:kern w:val="2"/>
          <w:szCs w:val="30"/>
          <w:lang w:eastAsia="zh-CN"/>
        </w:rPr>
        <w:t>司法行政、发展改革、网信、</w:t>
      </w:r>
      <w:r>
        <w:rPr>
          <w:rFonts w:hint="eastAsia" w:hAnsi="宋体"/>
          <w:kern w:val="2"/>
          <w:szCs w:val="30"/>
        </w:rPr>
        <w:t>信访等部门</w:t>
      </w:r>
      <w:r>
        <w:rPr>
          <w:rFonts w:hint="eastAsia" w:hAnsi="宋体"/>
          <w:kern w:val="2"/>
          <w:szCs w:val="30"/>
          <w:lang w:val="en-US" w:eastAsia="zh-CN"/>
        </w:rPr>
        <w:t>强化协同联动、综合施策，依法治理牟利性职业索赔、职业举报行为。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第十一条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</w:rPr>
        <w:t>对</w:t>
      </w:r>
      <w:r>
        <w:rPr>
          <w:rFonts w:hint="eastAsia" w:hAnsi="宋体"/>
          <w:kern w:val="2"/>
          <w:szCs w:val="30"/>
          <w:lang w:eastAsia="zh-CN"/>
        </w:rPr>
        <w:t>异常名录人员提出的投诉，</w:t>
      </w:r>
      <w:r>
        <w:rPr>
          <w:rFonts w:hint="eastAsia" w:hAnsi="宋体"/>
          <w:kern w:val="2"/>
          <w:szCs w:val="30"/>
        </w:rPr>
        <w:t>投诉处理部门</w:t>
      </w:r>
      <w:r>
        <w:rPr>
          <w:rFonts w:hint="eastAsia" w:hAnsi="宋体"/>
          <w:kern w:val="2"/>
          <w:szCs w:val="30"/>
          <w:lang w:eastAsia="zh-CN"/>
        </w:rPr>
        <w:t>应依法严格审查。对不符合</w:t>
      </w:r>
      <w:r>
        <w:rPr>
          <w:rFonts w:hint="eastAsia" w:hAnsi="宋体"/>
          <w:kern w:val="2"/>
          <w:szCs w:val="30"/>
          <w:lang w:val="en-US" w:eastAsia="zh-CN"/>
        </w:rPr>
        <w:t>法定</w:t>
      </w:r>
      <w:r>
        <w:rPr>
          <w:rFonts w:hint="eastAsia" w:hAnsi="宋体"/>
          <w:kern w:val="2"/>
          <w:szCs w:val="30"/>
          <w:lang w:eastAsia="zh-CN"/>
        </w:rPr>
        <w:t>受理条件的，</w:t>
      </w:r>
      <w:r>
        <w:rPr>
          <w:rFonts w:hint="eastAsia" w:hAnsi="宋体"/>
          <w:kern w:val="2"/>
          <w:szCs w:val="30"/>
        </w:rPr>
        <w:t>不予受理；已经受理的，可以终止调解。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第十二条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</w:rPr>
        <w:t>对异常名录人员</w:t>
      </w:r>
      <w:r>
        <w:rPr>
          <w:rFonts w:hint="eastAsia" w:hAnsi="宋体"/>
          <w:kern w:val="2"/>
          <w:szCs w:val="30"/>
          <w:lang w:eastAsia="zh-CN"/>
        </w:rPr>
        <w:t>提出</w:t>
      </w:r>
      <w:r>
        <w:rPr>
          <w:rFonts w:hint="eastAsia" w:hAnsi="宋体"/>
          <w:kern w:val="2"/>
          <w:szCs w:val="30"/>
        </w:rPr>
        <w:t>的举报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举报处理部门应</w:t>
      </w:r>
      <w:r>
        <w:rPr>
          <w:rFonts w:hint="eastAsia" w:hAnsi="宋体"/>
          <w:kern w:val="2"/>
          <w:szCs w:val="30"/>
          <w:lang w:eastAsia="zh-CN"/>
        </w:rPr>
        <w:t>依法严格审查，准确把握举报立案条件。对不符合</w:t>
      </w:r>
      <w:r>
        <w:rPr>
          <w:rFonts w:hint="eastAsia" w:hAnsi="宋体"/>
          <w:kern w:val="2"/>
          <w:szCs w:val="30"/>
          <w:lang w:val="en-US" w:eastAsia="zh-CN"/>
        </w:rPr>
        <w:t>法定</w:t>
      </w:r>
      <w:r>
        <w:rPr>
          <w:rFonts w:hint="eastAsia" w:hAnsi="宋体"/>
          <w:kern w:val="2"/>
          <w:szCs w:val="30"/>
          <w:lang w:eastAsia="zh-CN"/>
        </w:rPr>
        <w:t>立案条件的，不予立案</w:t>
      </w:r>
      <w:r>
        <w:rPr>
          <w:rFonts w:hint="eastAsia" w:hAnsi="宋体"/>
          <w:kern w:val="2"/>
          <w:szCs w:val="30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hAnsi="宋体"/>
          <w:kern w:val="2"/>
          <w:szCs w:val="30"/>
        </w:rPr>
        <w:t>对举报后要求告知是否立案的，举报处理部门可以要求举报人在合理期限内配合核验身份信息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举报人逾期未配合核验的，</w:t>
      </w:r>
      <w:r>
        <w:rPr>
          <w:rFonts w:hint="eastAsia" w:hAnsi="宋体"/>
          <w:kern w:val="2"/>
          <w:szCs w:val="30"/>
          <w:lang w:eastAsia="zh-CN"/>
        </w:rPr>
        <w:t>视为匿名举报</w:t>
      </w:r>
      <w:r>
        <w:rPr>
          <w:rFonts w:hint="eastAsia" w:hAnsi="宋体"/>
          <w:kern w:val="2"/>
          <w:szCs w:val="30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对异常名录人员相关举报</w:t>
      </w:r>
      <w:r>
        <w:rPr>
          <w:rFonts w:hint="eastAsia" w:hAnsi="宋体"/>
          <w:kern w:val="2"/>
          <w:szCs w:val="30"/>
          <w:lang w:eastAsia="zh-CN"/>
        </w:rPr>
        <w:t>奖励事项</w:t>
      </w:r>
      <w:r>
        <w:rPr>
          <w:rFonts w:hint="eastAsia" w:hAnsi="宋体"/>
          <w:kern w:val="2"/>
          <w:szCs w:val="30"/>
        </w:rPr>
        <w:t>依法严格审查，对不符合奖励条件的举报不予奖励。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第十三条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</w:rPr>
        <w:t>投诉举报处理部门可以通过约谈、制发</w:t>
      </w:r>
      <w:bookmarkStart w:id="0" w:name="OLE_LINK1"/>
      <w:r>
        <w:rPr>
          <w:rFonts w:hint="eastAsia" w:hAnsi="宋体"/>
          <w:kern w:val="2"/>
          <w:szCs w:val="30"/>
        </w:rPr>
        <w:t>《投诉举报处理</w:t>
      </w:r>
      <w:r>
        <w:rPr>
          <w:rFonts w:hint="eastAsia" w:hAnsi="宋体"/>
          <w:kern w:val="2"/>
          <w:szCs w:val="30"/>
          <w:lang w:eastAsia="zh-CN"/>
        </w:rPr>
        <w:t>告知</w:t>
      </w:r>
      <w:r>
        <w:rPr>
          <w:rFonts w:hint="eastAsia" w:hAnsi="宋体"/>
          <w:kern w:val="2"/>
          <w:szCs w:val="30"/>
        </w:rPr>
        <w:t>书</w:t>
      </w:r>
      <w:bookmarkEnd w:id="0"/>
      <w:r>
        <w:rPr>
          <w:rFonts w:hint="eastAsia" w:hAnsi="宋体"/>
          <w:kern w:val="2"/>
          <w:szCs w:val="30"/>
        </w:rPr>
        <w:t>》等形式，对牟利性职业索赔、职业举报行为</w:t>
      </w:r>
      <w:r>
        <w:rPr>
          <w:rFonts w:hint="eastAsia" w:hAnsi="宋体"/>
          <w:kern w:val="2"/>
          <w:szCs w:val="30"/>
          <w:lang w:eastAsia="zh-CN"/>
        </w:rPr>
        <w:t>及其后果</w:t>
      </w:r>
      <w:r>
        <w:rPr>
          <w:rFonts w:hint="eastAsia" w:hAnsi="宋体"/>
          <w:kern w:val="2"/>
          <w:szCs w:val="30"/>
        </w:rPr>
        <w:t>进行</w:t>
      </w:r>
      <w:r>
        <w:rPr>
          <w:rFonts w:hint="eastAsia" w:hAnsi="宋体"/>
          <w:kern w:val="2"/>
          <w:szCs w:val="30"/>
          <w:lang w:eastAsia="zh-CN"/>
        </w:rPr>
        <w:t>告知</w:t>
      </w:r>
      <w:r>
        <w:rPr>
          <w:rFonts w:hint="eastAsia" w:hAnsi="宋体"/>
          <w:kern w:val="2"/>
          <w:szCs w:val="30"/>
        </w:rPr>
        <w:t>提示。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第十四条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</w:rPr>
        <w:t>异常名录人员反复、批量申请公开现场笔录、询问笔录、证据照片等行政执法案卷信息或者行政内部事务信息的，</w:t>
      </w:r>
      <w:r>
        <w:rPr>
          <w:rFonts w:hint="eastAsia" w:hAnsi="宋体"/>
          <w:kern w:val="2"/>
          <w:szCs w:val="30"/>
          <w:lang w:eastAsia="zh-CN"/>
        </w:rPr>
        <w:t>职能部门</w:t>
      </w:r>
      <w:r>
        <w:rPr>
          <w:rFonts w:hint="eastAsia" w:hAnsi="宋体"/>
          <w:kern w:val="2"/>
          <w:szCs w:val="30"/>
        </w:rPr>
        <w:t>根据《政府信息公开条例》</w:t>
      </w:r>
      <w:r>
        <w:rPr>
          <w:rFonts w:hint="eastAsia" w:hAnsi="宋体"/>
          <w:kern w:val="2"/>
          <w:szCs w:val="30"/>
          <w:lang w:eastAsia="zh-CN"/>
        </w:rPr>
        <w:t>《上海市政府信息公开规定》等</w:t>
      </w:r>
      <w:r>
        <w:rPr>
          <w:rFonts w:hint="eastAsia" w:hAnsi="宋体"/>
          <w:kern w:val="2"/>
          <w:szCs w:val="30"/>
        </w:rPr>
        <w:t>，</w:t>
      </w:r>
      <w:r>
        <w:rPr>
          <w:rFonts w:hint="eastAsia" w:hAnsi="宋体"/>
          <w:kern w:val="2"/>
          <w:szCs w:val="30"/>
          <w:lang w:eastAsia="zh-CN"/>
        </w:rPr>
        <w:t>依法</w:t>
      </w:r>
      <w:r>
        <w:rPr>
          <w:rFonts w:hint="eastAsia" w:hAnsi="宋体"/>
          <w:kern w:val="2"/>
          <w:szCs w:val="30"/>
        </w:rPr>
        <w:t>可以不予公开。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第十五条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</w:rPr>
        <w:t>依据《</w:t>
      </w:r>
      <w:r>
        <w:rPr>
          <w:rFonts w:hint="eastAsia" w:hAnsi="宋体"/>
          <w:kern w:val="2"/>
          <w:szCs w:val="30"/>
          <w:lang w:val="en-US" w:eastAsia="zh-CN"/>
        </w:rPr>
        <w:t>上海市消费者权益保护条例</w:t>
      </w:r>
      <w:r>
        <w:rPr>
          <w:rFonts w:hint="eastAsia" w:hAnsi="宋体"/>
          <w:kern w:val="2"/>
          <w:szCs w:val="30"/>
        </w:rPr>
        <w:t>》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将</w:t>
      </w:r>
      <w:r>
        <w:rPr>
          <w:rFonts w:hint="eastAsia" w:hAnsi="宋体"/>
          <w:kern w:val="2"/>
          <w:szCs w:val="30"/>
          <w:lang w:eastAsia="zh-CN"/>
        </w:rPr>
        <w:t>异常名录信息</w:t>
      </w:r>
      <w:r>
        <w:rPr>
          <w:rFonts w:hint="eastAsia" w:hAnsi="宋体"/>
          <w:kern w:val="2"/>
          <w:szCs w:val="30"/>
        </w:rPr>
        <w:t>纳入本市公共信用信息目录。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第十六条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  <w:lang w:eastAsia="zh-CN"/>
        </w:rPr>
        <w:t>对异常名录人员在开展牟利性职业索赔、职业举报过程中提出的行政复议，</w:t>
      </w:r>
      <w:r>
        <w:rPr>
          <w:rFonts w:hint="eastAsia" w:hAnsi="宋体"/>
          <w:kern w:val="2"/>
          <w:szCs w:val="30"/>
          <w:lang w:val="en-US" w:eastAsia="zh-CN"/>
        </w:rPr>
        <w:t>行政</w:t>
      </w:r>
      <w:r>
        <w:rPr>
          <w:rFonts w:hint="eastAsia" w:hAnsi="宋体"/>
          <w:kern w:val="2"/>
          <w:szCs w:val="30"/>
        </w:rPr>
        <w:t>复议</w:t>
      </w:r>
      <w:r>
        <w:rPr>
          <w:rFonts w:hint="eastAsia" w:hAnsi="宋体"/>
          <w:kern w:val="2"/>
          <w:szCs w:val="30"/>
          <w:lang w:eastAsia="zh-CN"/>
        </w:rPr>
        <w:t>部门</w:t>
      </w:r>
      <w:r>
        <w:rPr>
          <w:rFonts w:hint="eastAsia" w:hAnsi="宋体"/>
          <w:kern w:val="2"/>
          <w:szCs w:val="30"/>
        </w:rPr>
        <w:t>应当</w:t>
      </w:r>
      <w:r>
        <w:rPr>
          <w:rFonts w:hint="eastAsia" w:hAnsi="宋体"/>
          <w:kern w:val="2"/>
          <w:szCs w:val="30"/>
          <w:lang w:val="en-US" w:eastAsia="zh-CN"/>
        </w:rPr>
        <w:t>依法</w:t>
      </w:r>
      <w:r>
        <w:rPr>
          <w:rFonts w:hint="eastAsia" w:hAnsi="宋体"/>
          <w:kern w:val="2"/>
          <w:szCs w:val="30"/>
        </w:rPr>
        <w:t>严格</w:t>
      </w:r>
      <w:r>
        <w:rPr>
          <w:rFonts w:hint="eastAsia" w:hAnsi="宋体"/>
          <w:kern w:val="2"/>
          <w:szCs w:val="30"/>
          <w:lang w:val="en-US" w:eastAsia="zh-CN"/>
        </w:rPr>
        <w:t>审查其是否存在滥用权利、具备利害关系等情形。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第十七条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  <w:lang w:eastAsia="zh-CN"/>
        </w:rPr>
        <w:t>对异常名录人员在开展牟利性职业索赔、职业举报过程中提起的诉讼，法院应当对相关诉讼请求依法严格审查，审慎认定处理</w:t>
      </w:r>
      <w:r>
        <w:rPr>
          <w:rFonts w:hint="eastAsia" w:hAnsi="宋体"/>
          <w:kern w:val="2"/>
          <w:szCs w:val="30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/>
        </w:rPr>
      </w:pPr>
      <w:r>
        <w:rPr>
          <w:rFonts w:hint="eastAsia" w:hAnsi="宋体"/>
          <w:kern w:val="2"/>
          <w:szCs w:val="30"/>
          <w:lang w:val="en-US" w:eastAsia="zh-CN"/>
        </w:rPr>
        <w:t>对涉及食品药品领域的民事案件，法院</w:t>
      </w:r>
      <w:r>
        <w:rPr>
          <w:rFonts w:hint="eastAsia" w:hAnsi="宋体"/>
          <w:kern w:val="2"/>
          <w:szCs w:val="30"/>
        </w:rPr>
        <w:t>依据</w:t>
      </w:r>
      <w:r>
        <w:rPr>
          <w:rFonts w:hint="eastAsia" w:hAnsi="宋体"/>
          <w:kern w:val="2"/>
          <w:szCs w:val="30"/>
          <w:lang w:eastAsia="zh-CN"/>
        </w:rPr>
        <w:t>有关司法解释在</w:t>
      </w:r>
      <w:r>
        <w:rPr>
          <w:rFonts w:hint="eastAsia" w:hAnsi="宋体"/>
          <w:kern w:val="2"/>
          <w:szCs w:val="30"/>
        </w:rPr>
        <w:t>合理生活消费需要</w:t>
      </w:r>
      <w:r>
        <w:rPr>
          <w:rFonts w:hint="eastAsia" w:hAnsi="宋体"/>
          <w:kern w:val="2"/>
          <w:szCs w:val="30"/>
          <w:lang w:eastAsia="zh-CN"/>
        </w:rPr>
        <w:t>范围</w:t>
      </w:r>
      <w:r>
        <w:rPr>
          <w:rFonts w:hint="eastAsia" w:hAnsi="宋体"/>
          <w:kern w:val="2"/>
          <w:szCs w:val="30"/>
        </w:rPr>
        <w:t>内</w:t>
      </w:r>
      <w:r>
        <w:rPr>
          <w:rFonts w:hint="eastAsia" w:hAnsi="宋体"/>
          <w:kern w:val="2"/>
          <w:szCs w:val="30"/>
          <w:lang w:eastAsia="zh-CN"/>
        </w:rPr>
        <w:t>对</w:t>
      </w:r>
      <w:r>
        <w:rPr>
          <w:rFonts w:hint="eastAsia" w:hAnsi="宋体"/>
          <w:kern w:val="2"/>
          <w:szCs w:val="30"/>
        </w:rPr>
        <w:t>相关</w:t>
      </w:r>
      <w:r>
        <w:rPr>
          <w:rFonts w:hint="eastAsia" w:hAnsi="宋体"/>
          <w:kern w:val="2"/>
          <w:szCs w:val="30"/>
          <w:lang w:eastAsia="zh-CN"/>
        </w:rPr>
        <w:t>诉讼请求依法处理</w:t>
      </w:r>
      <w:r>
        <w:rPr>
          <w:rFonts w:hint="eastAsia" w:hAnsi="宋体"/>
          <w:kern w:val="2"/>
          <w:szCs w:val="30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第十八条</w:t>
      </w:r>
      <w:r>
        <w:rPr>
          <w:rFonts w:hint="eastAsia" w:hAnsi="宋体"/>
          <w:kern w:val="2"/>
          <w:szCs w:val="30"/>
          <w:lang w:val="en-US" w:eastAsia="zh-CN"/>
        </w:rPr>
        <w:t>　异常名录人员在开展牟利性职业索赔、职业举报过程中，实施敲诈勒索、诈骗、</w:t>
      </w:r>
      <w:r>
        <w:rPr>
          <w:rFonts w:hint="eastAsia" w:hAnsi="宋体"/>
          <w:kern w:val="2"/>
          <w:szCs w:val="30"/>
          <w:lang w:eastAsia="zh-CN"/>
        </w:rPr>
        <w:t>强迫交易、</w:t>
      </w:r>
      <w:r>
        <w:rPr>
          <w:rFonts w:hint="eastAsia" w:hAnsi="宋体"/>
          <w:kern w:val="2"/>
          <w:szCs w:val="30"/>
          <w:lang w:val="en-US" w:eastAsia="zh-CN"/>
        </w:rPr>
        <w:t>虚假诉讼、寻衅滋事等行为，涉嫌违法犯罪的，司法机关依法予以处理。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/>
        </w:rPr>
      </w:pPr>
      <w:r>
        <w:rPr>
          <w:rFonts w:hint="eastAsia" w:hAnsi="宋体"/>
          <w:kern w:val="2"/>
          <w:szCs w:val="30"/>
        </w:rPr>
        <w:t>针对公司化团伙化运作的、涉嫌违法犯罪的</w:t>
      </w:r>
      <w:r>
        <w:rPr>
          <w:rFonts w:hint="eastAsia" w:hAnsi="宋体"/>
          <w:kern w:val="2"/>
          <w:szCs w:val="30"/>
          <w:lang w:eastAsia="zh-CN"/>
        </w:rPr>
        <w:t>牟利性</w:t>
      </w:r>
      <w:r>
        <w:rPr>
          <w:rFonts w:hint="eastAsia" w:hAnsi="宋体"/>
          <w:kern w:val="2"/>
          <w:szCs w:val="30"/>
        </w:rPr>
        <w:t>职业索赔</w:t>
      </w:r>
      <w:r>
        <w:rPr>
          <w:rFonts w:hint="eastAsia" w:hAnsi="宋体"/>
          <w:kern w:val="2"/>
          <w:szCs w:val="30"/>
          <w:lang w:eastAsia="zh-CN"/>
        </w:rPr>
        <w:t>、</w:t>
      </w:r>
      <w:r>
        <w:rPr>
          <w:rFonts w:hint="eastAsia" w:hAnsi="宋体"/>
          <w:kern w:val="2"/>
          <w:szCs w:val="30"/>
        </w:rPr>
        <w:t>职业举报</w:t>
      </w:r>
      <w:r>
        <w:rPr>
          <w:rFonts w:hint="eastAsia" w:hAnsi="宋体"/>
          <w:kern w:val="2"/>
          <w:szCs w:val="30"/>
          <w:lang w:eastAsia="zh-CN"/>
        </w:rPr>
        <w:t>行为</w:t>
      </w:r>
      <w:r>
        <w:rPr>
          <w:rFonts w:hint="eastAsia" w:hAnsi="宋体"/>
          <w:kern w:val="2"/>
          <w:szCs w:val="30"/>
        </w:rPr>
        <w:t>，</w:t>
      </w:r>
      <w:r>
        <w:rPr>
          <w:rFonts w:hint="eastAsia" w:hAnsi="宋体"/>
          <w:kern w:val="2"/>
          <w:szCs w:val="30"/>
          <w:lang w:eastAsia="zh-CN"/>
        </w:rPr>
        <w:t>司法机关根据</w:t>
      </w:r>
      <w:r>
        <w:rPr>
          <w:rFonts w:hint="eastAsia" w:hAnsi="宋体"/>
          <w:kern w:val="2"/>
          <w:szCs w:val="30"/>
        </w:rPr>
        <w:t>《中华人民共和国反有组织犯罪法》的要求，依法</w:t>
      </w:r>
      <w:r>
        <w:rPr>
          <w:rFonts w:hint="eastAsia" w:hAnsi="宋体"/>
          <w:kern w:val="2"/>
          <w:szCs w:val="30"/>
          <w:lang w:eastAsia="zh-CN"/>
        </w:rPr>
        <w:t>予以</w:t>
      </w:r>
      <w:r>
        <w:rPr>
          <w:rFonts w:hint="eastAsia" w:hAnsi="宋体"/>
          <w:kern w:val="2"/>
          <w:szCs w:val="30"/>
        </w:rPr>
        <w:t>打击。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第十九条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</w:rPr>
        <w:t>对</w:t>
      </w:r>
      <w:r>
        <w:rPr>
          <w:rFonts w:hint="eastAsia" w:hAnsi="宋体"/>
          <w:kern w:val="2"/>
          <w:szCs w:val="30"/>
          <w:lang w:eastAsia="zh-CN"/>
        </w:rPr>
        <w:t>异常名录人员通过自媒体网络</w:t>
      </w:r>
      <w:r>
        <w:rPr>
          <w:rFonts w:hint="eastAsia" w:hAnsi="宋体"/>
          <w:kern w:val="2"/>
          <w:szCs w:val="30"/>
        </w:rPr>
        <w:t>直播</w:t>
      </w:r>
      <w:r>
        <w:rPr>
          <w:rFonts w:hint="eastAsia" w:hAnsi="宋体"/>
          <w:kern w:val="2"/>
          <w:szCs w:val="30"/>
          <w:lang w:eastAsia="zh-CN"/>
        </w:rPr>
        <w:t>、发布视频等形式</w:t>
      </w:r>
      <w:r>
        <w:rPr>
          <w:rFonts w:hint="eastAsia" w:hAnsi="宋体"/>
          <w:kern w:val="2"/>
          <w:szCs w:val="30"/>
          <w:lang w:val="en-US" w:eastAsia="zh-CN"/>
        </w:rPr>
        <w:t>开展牟利性职业索赔、职业举报的</w:t>
      </w:r>
      <w:r>
        <w:rPr>
          <w:rFonts w:hint="eastAsia" w:hAnsi="宋体"/>
          <w:kern w:val="2"/>
          <w:szCs w:val="30"/>
        </w:rPr>
        <w:t>，</w:t>
      </w:r>
      <w:r>
        <w:rPr>
          <w:rFonts w:hint="eastAsia" w:hAnsi="宋体"/>
          <w:kern w:val="2"/>
          <w:szCs w:val="30"/>
          <w:lang w:eastAsia="zh-CN"/>
        </w:rPr>
        <w:t>网信部门加强相关</w:t>
      </w:r>
      <w:r>
        <w:rPr>
          <w:rFonts w:hint="eastAsia" w:hAnsi="宋体"/>
          <w:kern w:val="2"/>
          <w:szCs w:val="30"/>
        </w:rPr>
        <w:t>网络信息的监测，规范以打假、维权为名“蹭热点”“博流量”问题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指导网络平台</w:t>
      </w:r>
      <w:r>
        <w:rPr>
          <w:rFonts w:hint="eastAsia" w:hAnsi="宋体"/>
          <w:kern w:val="2"/>
          <w:szCs w:val="30"/>
          <w:lang w:eastAsia="zh-CN"/>
        </w:rPr>
        <w:t>健全相关</w:t>
      </w:r>
      <w:r>
        <w:rPr>
          <w:rFonts w:hint="eastAsia" w:hAnsi="宋体"/>
          <w:kern w:val="2"/>
          <w:szCs w:val="30"/>
        </w:rPr>
        <w:t>审核管理和流量分发机制</w:t>
      </w:r>
      <w:r>
        <w:rPr>
          <w:rFonts w:hint="eastAsia" w:hAnsi="宋体"/>
          <w:kern w:val="2"/>
          <w:szCs w:val="30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第二十条</w:t>
      </w:r>
      <w:r>
        <w:rPr>
          <w:rFonts w:hint="eastAsia" w:hAnsi="宋体"/>
          <w:kern w:val="2"/>
          <w:szCs w:val="30"/>
          <w:lang w:val="en-US" w:eastAsia="zh-CN"/>
        </w:rPr>
        <w:t>　在牟利性职业索赔、职业举报多发领域</w:t>
      </w:r>
      <w:r>
        <w:rPr>
          <w:rFonts w:hint="eastAsia" w:hAnsi="宋体"/>
          <w:kern w:val="2"/>
          <w:szCs w:val="30"/>
        </w:rPr>
        <w:t>，坚持过罚相当原则，</w:t>
      </w:r>
      <w:r>
        <w:rPr>
          <w:rFonts w:hint="eastAsia" w:hAnsi="宋体"/>
          <w:kern w:val="2"/>
          <w:szCs w:val="30"/>
          <w:lang w:eastAsia="zh-CN"/>
        </w:rPr>
        <w:t>对生产经营者相关</w:t>
      </w:r>
      <w:r>
        <w:rPr>
          <w:rFonts w:hint="eastAsia" w:hAnsi="宋体"/>
          <w:kern w:val="2"/>
          <w:szCs w:val="30"/>
          <w:lang w:val="en-US" w:eastAsia="zh-CN"/>
        </w:rPr>
        <w:t>瑕疵问题、轻微违法、后果较轻、过错较小等情况，进一步细化依法减轻处罚和依法免于处罚标准，完善依法减轻和依法免于处罚清单，更好引导鼓励生产经营者依法合规经营。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第二十一条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  <w:lang w:eastAsia="zh-CN"/>
        </w:rPr>
        <w:t>聚焦</w:t>
      </w:r>
      <w:r>
        <w:rPr>
          <w:rFonts w:hint="eastAsia" w:hAnsi="宋体"/>
          <w:kern w:val="2"/>
          <w:szCs w:val="30"/>
          <w:lang w:val="en-US" w:eastAsia="zh-CN"/>
        </w:rPr>
        <w:t>餐饮、商超、电商等牟利性职业索赔、职业举报多发领域，完善经营主体合规指引，推动网络交易平台落实合规管理主体责任，增强生产经营者守法意识，推动不断提升产品质量、规范服务行为。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第二十二条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  <w:lang w:eastAsia="zh-CN"/>
        </w:rPr>
        <w:t>强化对生产经营者的法治</w:t>
      </w:r>
      <w:r>
        <w:rPr>
          <w:rFonts w:hint="eastAsia" w:hAnsi="宋体"/>
          <w:kern w:val="2"/>
          <w:szCs w:val="30"/>
        </w:rPr>
        <w:t>宣传</w:t>
      </w:r>
      <w:r>
        <w:rPr>
          <w:rFonts w:hint="eastAsia" w:hAnsi="宋体"/>
          <w:kern w:val="2"/>
          <w:szCs w:val="30"/>
          <w:lang w:eastAsia="zh-CN"/>
        </w:rPr>
        <w:t>教育，加强以案释法、以案说理，帮助</w:t>
      </w:r>
      <w:r>
        <w:rPr>
          <w:rFonts w:hint="eastAsia" w:hAnsi="宋体"/>
          <w:kern w:val="2"/>
          <w:szCs w:val="30"/>
          <w:lang w:val="en-US" w:eastAsia="zh-CN"/>
        </w:rPr>
        <w:t>生产经营者</w:t>
      </w:r>
      <w:r>
        <w:rPr>
          <w:rFonts w:hint="eastAsia" w:hAnsi="宋体"/>
          <w:kern w:val="2"/>
          <w:szCs w:val="30"/>
          <w:lang w:eastAsia="zh-CN"/>
        </w:rPr>
        <w:t>准确理解</w:t>
      </w:r>
      <w:r>
        <w:rPr>
          <w:rFonts w:hint="eastAsia" w:hAnsi="宋体"/>
          <w:kern w:val="2"/>
          <w:szCs w:val="30"/>
        </w:rPr>
        <w:t>包容审慎监管政策，</w:t>
      </w:r>
      <w:r>
        <w:rPr>
          <w:rFonts w:hint="eastAsia" w:hAnsi="宋体"/>
          <w:kern w:val="2"/>
          <w:szCs w:val="30"/>
          <w:lang w:eastAsia="zh-CN"/>
        </w:rPr>
        <w:t>鼓励生产经营者增强自我防护意识，及时收集固定相关证据材料，</w:t>
      </w:r>
      <w:r>
        <w:rPr>
          <w:rFonts w:hint="eastAsia" w:hAnsi="宋体"/>
          <w:kern w:val="2"/>
          <w:szCs w:val="30"/>
          <w:lang w:val="en-US" w:eastAsia="zh-CN"/>
        </w:rPr>
        <w:t>向公安机关举报涉嫌违法犯罪的牟利性职业索赔、职业举报行为，</w:t>
      </w:r>
      <w:r>
        <w:rPr>
          <w:rFonts w:hint="eastAsia" w:hAnsi="宋体"/>
          <w:kern w:val="2"/>
          <w:szCs w:val="30"/>
          <w:lang w:eastAsia="zh-CN"/>
        </w:rPr>
        <w:t>积极</w:t>
      </w:r>
      <w:r>
        <w:rPr>
          <w:rFonts w:hint="eastAsia" w:hAnsi="宋体"/>
          <w:kern w:val="2"/>
          <w:szCs w:val="30"/>
        </w:rPr>
        <w:t>通过</w:t>
      </w:r>
      <w:r>
        <w:rPr>
          <w:rFonts w:hint="eastAsia" w:hAnsi="宋体"/>
          <w:kern w:val="2"/>
          <w:szCs w:val="30"/>
          <w:lang w:eastAsia="zh-CN"/>
        </w:rPr>
        <w:t>法律途径</w:t>
      </w:r>
      <w:r>
        <w:rPr>
          <w:rFonts w:hint="eastAsia" w:hAnsi="宋体"/>
          <w:kern w:val="2"/>
          <w:szCs w:val="30"/>
        </w:rPr>
        <w:t>维护自身合法权益。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第二十三条</w:t>
      </w:r>
      <w:r>
        <w:rPr>
          <w:rFonts w:hint="eastAsia" w:hAnsi="宋体"/>
          <w:kern w:val="2"/>
          <w:szCs w:val="30"/>
          <w:lang w:val="en-US" w:eastAsia="zh-CN"/>
        </w:rPr>
        <w:t>　细化完善司法执法办案工作指引，加强典型案例发布和宣传，明确牟利性职业索赔、职业举报行为违法犯罪的边界；相关部门在处理投诉举报、政府信息公开、行政复议、民事诉讼、行政诉讼、信访等事项中，对发现的牟利性职业索赔、职业举报涉嫌刑事犯罪线索，应依法移送公安机关，并告知检察机关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第二十四条</w:t>
      </w:r>
      <w:r>
        <w:rPr>
          <w:rFonts w:hint="eastAsia" w:hAnsi="宋体"/>
          <w:kern w:val="2"/>
          <w:szCs w:val="30"/>
          <w:lang w:val="en-US" w:eastAsia="zh-CN"/>
        </w:rPr>
        <w:t>　</w:t>
      </w:r>
      <w:r>
        <w:rPr>
          <w:rFonts w:hint="eastAsia" w:hAnsi="宋体"/>
          <w:kern w:val="2"/>
          <w:szCs w:val="30"/>
        </w:rPr>
        <w:t>依托信息化技术，加强信息化</w:t>
      </w:r>
      <w:r>
        <w:rPr>
          <w:rFonts w:hint="eastAsia" w:hAnsi="宋体"/>
          <w:kern w:val="2"/>
          <w:szCs w:val="30"/>
          <w:lang w:eastAsia="zh-CN"/>
        </w:rPr>
        <w:t>建设</w:t>
      </w:r>
      <w:r>
        <w:rPr>
          <w:rFonts w:hint="eastAsia" w:hAnsi="宋体"/>
          <w:kern w:val="2"/>
          <w:szCs w:val="30"/>
        </w:rPr>
        <w:t>，</w:t>
      </w:r>
      <w:r>
        <w:rPr>
          <w:rFonts w:hint="eastAsia" w:hAnsi="宋体"/>
          <w:kern w:val="2"/>
          <w:szCs w:val="30"/>
          <w:lang w:val="en-US" w:eastAsia="zh-CN"/>
        </w:rPr>
        <w:t>完善</w:t>
      </w:r>
      <w:r>
        <w:rPr>
          <w:rFonts w:hint="eastAsia" w:hAnsi="宋体"/>
          <w:kern w:val="2"/>
          <w:szCs w:val="30"/>
        </w:rPr>
        <w:t>异常名录系统，推动异常诉求的自动甄别、预警和提示</w:t>
      </w:r>
      <w:r>
        <w:rPr>
          <w:rFonts w:hint="eastAsia" w:hAnsi="宋体"/>
          <w:kern w:val="2"/>
          <w:szCs w:val="30"/>
          <w:lang w:val="en-US" w:eastAsia="zh-CN"/>
        </w:rPr>
        <w:t>。</w:t>
      </w:r>
      <w:r>
        <w:rPr>
          <w:rFonts w:hint="eastAsia" w:hAnsi="宋体"/>
          <w:kern w:val="2"/>
          <w:szCs w:val="30"/>
        </w:rPr>
        <w:t>开展</w:t>
      </w:r>
      <w:r>
        <w:rPr>
          <w:rFonts w:hint="eastAsia" w:hAnsi="宋体"/>
          <w:kern w:val="2"/>
          <w:szCs w:val="30"/>
          <w:lang w:eastAsia="zh-CN"/>
        </w:rPr>
        <w:t>针对</w:t>
      </w:r>
      <w:r>
        <w:rPr>
          <w:rFonts w:hint="eastAsia" w:hAnsi="宋体"/>
          <w:kern w:val="2"/>
          <w:szCs w:val="30"/>
        </w:rPr>
        <w:t>牟利性职业索赔</w:t>
      </w:r>
      <w:r>
        <w:rPr>
          <w:rFonts w:hint="eastAsia" w:hAnsi="宋体"/>
          <w:kern w:val="2"/>
          <w:szCs w:val="30"/>
          <w:lang w:eastAsia="zh-CN"/>
        </w:rPr>
        <w:t>、</w:t>
      </w:r>
      <w:r>
        <w:rPr>
          <w:rFonts w:hint="eastAsia" w:hAnsi="宋体"/>
          <w:kern w:val="2"/>
          <w:szCs w:val="30"/>
        </w:rPr>
        <w:t>职业举报的大数据分析，精准发现问题，增强行政指导和事中事后监管的针对性和有效性。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/>
        </w:rPr>
      </w:pPr>
      <w:r>
        <w:rPr>
          <w:rFonts w:hint="eastAsia" w:ascii="黑体" w:hAnsi="黑体" w:eastAsia="黑体" w:cs="黑体"/>
          <w:kern w:val="2"/>
          <w:szCs w:val="30"/>
          <w:lang w:eastAsia="zh-CN"/>
        </w:rPr>
        <w:t>第二十五条</w:t>
      </w:r>
      <w:r>
        <w:rPr>
          <w:rFonts w:hint="eastAsia" w:hAnsi="宋体"/>
          <w:kern w:val="2"/>
          <w:szCs w:val="30"/>
          <w:lang w:val="en-US" w:eastAsia="zh-CN"/>
        </w:rPr>
        <w:t>　本意见自印发之日起实施。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41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AndChars" w:linePitch="579" w:charSpace="-842"/>
        </w:sect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hAnsi="宋体"/>
          <w:kern w:val="2"/>
          <w:szCs w:val="30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hAnsi="宋体"/>
          <w:kern w:val="2"/>
          <w:szCs w:val="30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120"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284"/>
        <w:textAlignment w:val="auto"/>
        <w:rPr>
          <w:rFonts w:hint="eastAsia" w:hAnsi="宋体"/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272415</wp:posOffset>
                </wp:positionV>
                <wp:extent cx="5615940" cy="0"/>
                <wp:effectExtent l="0" t="0" r="0" b="0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21.45pt;height:0pt;width:442.2pt;z-index:251669504;mso-width-relative:page;mso-height-relative:page;" filled="f" stroked="t" coordsize="21600,21600" o:gfxdata="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I5/ey7VAAAABgEAAA8AAAAAAAAAAQAgAAAAOAAAAGRycy9kb3ducmV2LnhtbFBLAQIUABQA&#10;AAAIAIdO4kB4fNcM3QEAAJwDAAAOAAAAAAAAAAEAIAAAADoBAABkcnMvZTJvRG9jLnhtbFBLBQYA&#10;AAAABgAGAFkBAACJBQAAAAA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-40640</wp:posOffset>
                </wp:positionV>
                <wp:extent cx="5615940" cy="0"/>
                <wp:effectExtent l="0" t="0" r="0" b="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-3.2pt;height:0pt;width:442.2pt;z-index:251668480;mso-width-relative:page;mso-height-relative:page;" filled="f" stroked="t" coordsize="21600,21600" o:gfxdata="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WAAAAZHJzL1BLAQIUABQAAAAI&#10;AIdO4kBmA/ma1QAAAAYBAAAPAAAAAAAAAAEAIAAAADgAAABkcnMvZG93bnJldi54bWxQSwECFAAU&#10;AAAACACHTuJAkMZbBN4BAACcAwAADgAAAAAAAAABACAAAAA6AQAAZHJzL2Uyb0RvYy54bWxQSwUG&#10;AAAAAAYABgBZAQAAigUAAAAA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 w:hAnsi="宋体"/>
          <w:kern w:val="2"/>
          <w:sz w:val="28"/>
          <w:szCs w:val="28"/>
        </w:rPr>
        <w:t>上海市市场监督管理局办公室</w:t>
      </w:r>
      <w:r>
        <w:rPr>
          <w:rFonts w:hint="eastAsia" w:hAnsi="宋体"/>
          <w:spacing w:val="-2"/>
          <w:kern w:val="2"/>
          <w:sz w:val="28"/>
          <w:szCs w:val="28"/>
        </w:rPr>
        <w:t xml:space="preserve">               </w:t>
      </w:r>
      <w:r>
        <w:rPr>
          <w:rFonts w:hint="eastAsia" w:hAnsi="宋体"/>
          <w:kern w:val="2"/>
          <w:sz w:val="28"/>
          <w:szCs w:val="28"/>
        </w:rPr>
        <w:t>202</w:t>
      </w:r>
      <w:r>
        <w:rPr>
          <w:rFonts w:hint="default" w:hAnsi="宋体"/>
          <w:kern w:val="2"/>
          <w:sz w:val="28"/>
          <w:szCs w:val="28"/>
          <w:lang w:val="en"/>
        </w:rPr>
        <w:t>5</w:t>
      </w:r>
      <w:r>
        <w:rPr>
          <w:rFonts w:hint="eastAsia" w:hAnsi="宋体"/>
          <w:kern w:val="2"/>
          <w:sz w:val="28"/>
          <w:szCs w:val="28"/>
        </w:rPr>
        <w:t>年</w:t>
      </w:r>
      <w:r>
        <w:rPr>
          <w:rFonts w:hint="eastAsia" w:hAnsi="宋体"/>
          <w:kern w:val="2"/>
          <w:sz w:val="28"/>
          <w:szCs w:val="28"/>
          <w:lang w:val="en-US" w:eastAsia="zh-CN"/>
        </w:rPr>
        <w:t>11</w:t>
      </w:r>
      <w:r>
        <w:rPr>
          <w:rFonts w:hint="eastAsia" w:hAnsi="宋体"/>
          <w:kern w:val="2"/>
          <w:sz w:val="28"/>
          <w:szCs w:val="28"/>
        </w:rPr>
        <w:t>月</w:t>
      </w:r>
      <w:r>
        <w:rPr>
          <w:rFonts w:hint="eastAsia" w:hAnsi="宋体"/>
          <w:kern w:val="2"/>
          <w:sz w:val="28"/>
          <w:szCs w:val="28"/>
          <w:lang w:val="en-US" w:eastAsia="zh-CN"/>
        </w:rPr>
        <w:t>3</w:t>
      </w:r>
      <w:r>
        <w:rPr>
          <w:rFonts w:hint="eastAsia" w:hAnsi="宋体"/>
          <w:kern w:val="2"/>
          <w:sz w:val="28"/>
          <w:szCs w:val="28"/>
        </w:rPr>
        <w:t xml:space="preserve">日印发  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right"/>
      <w:textAlignment w:val="auto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right"/>
      <w:textAlignment w:val="auto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right"/>
      <w:textAlignment w:val="auto"/>
      <w:rPr>
        <w:rFonts w:hint="eastAsia" w:ascii="宋体" w:hAnsi="宋体" w:eastAsia="宋体"/>
        <w:kern w:val="2"/>
        <w:sz w:val="28"/>
        <w:szCs w:val="2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right"/>
      <w:textAlignment w:val="auto"/>
      <w:rPr>
        <w:rFonts w:hint="eastAsia" w:ascii="宋体" w:hAnsi="宋体" w:eastAsia="宋体"/>
        <w:kern w:val="2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evenAndOddHeaders w:val="true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BD1C8F"/>
    <w:rsid w:val="253B383C"/>
    <w:rsid w:val="32FF684B"/>
    <w:rsid w:val="3F064ECF"/>
    <w:rsid w:val="5FADB3AE"/>
    <w:rsid w:val="63761B14"/>
    <w:rsid w:val="7CFD4CF3"/>
    <w:rsid w:val="7DFF5ED6"/>
    <w:rsid w:val="7EBD1C8F"/>
    <w:rsid w:val="7F654B85"/>
    <w:rsid w:val="7FD8CF0F"/>
    <w:rsid w:val="7FFD3AA1"/>
    <w:rsid w:val="96DF14F9"/>
    <w:rsid w:val="97AD76FB"/>
    <w:rsid w:val="B61EFA3C"/>
    <w:rsid w:val="BFBF7E77"/>
    <w:rsid w:val="D7338C66"/>
    <w:rsid w:val="F64F5F24"/>
    <w:rsid w:val="FD6B7C1E"/>
    <w:rsid w:val="FFFAECA6"/>
    <w:rsid w:val="FFFFA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jc w:val="both"/>
    </w:pPr>
    <w:rPr>
      <w:rFonts w:ascii="仿宋_GB2312" w:hAnsi="仿宋_GB2312" w:eastAsia="仿宋_GB2312" w:cs="Times New Roman"/>
      <w:kern w:val="2"/>
      <w:sz w:val="32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0" w:after="140" w:line="276" w:lineRule="auto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页脚1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2025-09-13T06:44:00Z</dcterms:created>
  <dc:creator>scjuser</dc:creator>
  <cp:lastModifiedBy>scjuser</cp:lastModifiedBy>
  <cp:lastPrinted>2025-09-13T00:05:00Z</cp:lastPrinted>
  <dcterms:modified xsi:type="dcterms:W3CDTF">2025-11-03T14:07:57Z</dcterms:modified>
  <dc:title>上海市市场监督管理局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D763857D7BE01DAF9032F768C74A1334_43</vt:lpwstr>
  </property>
</Properties>
</file>