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F6" w:rsidRDefault="009D64F6">
      <w:pPr>
        <w:adjustRightInd w:val="0"/>
        <w:snapToGrid w:val="0"/>
        <w:spacing w:line="336" w:lineRule="auto"/>
        <w:rPr>
          <w:rFonts w:ascii="黑体" w:eastAsia="黑体"/>
          <w:szCs w:val="32"/>
        </w:rPr>
      </w:pPr>
      <w:bookmarkStart w:id="0" w:name="_Toc43311788"/>
    </w:p>
    <w:p w:rsidR="009D64F6" w:rsidRDefault="009D64F6">
      <w:pPr>
        <w:adjustRightInd w:val="0"/>
        <w:snapToGrid w:val="0"/>
        <w:spacing w:line="336" w:lineRule="auto"/>
        <w:rPr>
          <w:rFonts w:ascii="黑体" w:eastAsia="黑体"/>
          <w:szCs w:val="32"/>
        </w:rPr>
      </w:pPr>
    </w:p>
    <w:p w:rsidR="009D64F6" w:rsidRDefault="009D64F6">
      <w:pPr>
        <w:adjustRightInd w:val="0"/>
        <w:snapToGrid w:val="0"/>
        <w:spacing w:line="336" w:lineRule="auto"/>
        <w:rPr>
          <w:rFonts w:ascii="黑体" w:eastAsia="黑体"/>
          <w:szCs w:val="32"/>
        </w:rPr>
      </w:pPr>
    </w:p>
    <w:p w:rsidR="009D64F6" w:rsidRDefault="009D64F6">
      <w:pPr>
        <w:adjustRightInd w:val="0"/>
        <w:snapToGrid w:val="0"/>
        <w:spacing w:line="100" w:lineRule="exact"/>
        <w:rPr>
          <w:rFonts w:ascii="黑体" w:eastAsia="黑体"/>
          <w:szCs w:val="32"/>
        </w:rPr>
      </w:pPr>
    </w:p>
    <w:p w:rsidR="009D64F6" w:rsidRDefault="004F1048">
      <w:pPr>
        <w:adjustRightInd w:val="0"/>
        <w:snapToGrid w:val="0"/>
        <w:ind w:left="-57"/>
        <w:jc w:val="center"/>
        <w:rPr>
          <w:rFonts w:ascii="方正小标宋简体" w:eastAsia="方正小标宋简体" w:hAnsi="宋体"/>
          <w:color w:val="FF0000"/>
          <w:spacing w:val="36"/>
          <w:sz w:val="52"/>
          <w:szCs w:val="52"/>
        </w:rPr>
      </w:pPr>
      <w:r>
        <w:rPr>
          <w:rFonts w:ascii="方正小标宋简体" w:eastAsia="方正小标宋简体" w:hAnsi="宋体" w:hint="eastAsia"/>
          <w:color w:val="FF0000"/>
          <w:spacing w:val="36"/>
          <w:sz w:val="52"/>
          <w:szCs w:val="52"/>
        </w:rPr>
        <w:t>上海市徐汇区市场监督管理局文件</w:t>
      </w:r>
    </w:p>
    <w:p w:rsidR="009D64F6" w:rsidRDefault="009D64F6">
      <w:pPr>
        <w:tabs>
          <w:tab w:val="left" w:pos="790"/>
        </w:tabs>
        <w:adjustRightInd w:val="0"/>
        <w:snapToGrid w:val="0"/>
        <w:spacing w:line="252" w:lineRule="auto"/>
        <w:jc w:val="center"/>
        <w:rPr>
          <w:rFonts w:ascii="黑体" w:eastAsia="黑体"/>
          <w:szCs w:val="32"/>
        </w:rPr>
      </w:pPr>
    </w:p>
    <w:p w:rsidR="009D64F6" w:rsidRDefault="009D64F6">
      <w:pPr>
        <w:tabs>
          <w:tab w:val="left" w:pos="790"/>
        </w:tabs>
        <w:adjustRightInd w:val="0"/>
        <w:snapToGrid w:val="0"/>
        <w:spacing w:line="252" w:lineRule="auto"/>
        <w:jc w:val="center"/>
        <w:rPr>
          <w:rFonts w:ascii="黑体" w:eastAsia="黑体"/>
          <w:szCs w:val="32"/>
        </w:rPr>
      </w:pPr>
    </w:p>
    <w:p w:rsidR="009D64F6" w:rsidRDefault="004F1048">
      <w:pPr>
        <w:tabs>
          <w:tab w:val="left" w:pos="790"/>
        </w:tabs>
        <w:adjustRightInd w:val="0"/>
        <w:snapToGrid w:val="0"/>
        <w:spacing w:line="336" w:lineRule="auto"/>
        <w:jc w:val="center"/>
        <w:rPr>
          <w:rFonts w:ascii="仿宋_GB2312" w:eastAsia="仿宋_GB2312" w:hAnsi="宋体"/>
          <w:sz w:val="32"/>
          <w:szCs w:val="32"/>
        </w:rPr>
      </w:pPr>
      <w:r>
        <w:rPr>
          <w:rFonts w:ascii="仿宋_GB2312" w:eastAsia="仿宋_GB2312" w:hAnsi="宋体" w:hint="eastAsia"/>
          <w:sz w:val="32"/>
          <w:szCs w:val="32"/>
        </w:rPr>
        <w:t>徐市监</w:t>
      </w:r>
      <w:r>
        <w:rPr>
          <w:rFonts w:ascii="仿宋_GB2312" w:eastAsia="仿宋_GB2312" w:hAnsi="宋体" w:hint="eastAsia"/>
          <w:sz w:val="32"/>
          <w:szCs w:val="32"/>
        </w:rPr>
        <w:t>规</w:t>
      </w:r>
      <w:r>
        <w:rPr>
          <w:rFonts w:ascii="仿宋_GB2312" w:eastAsia="仿宋_GB2312" w:hAnsi="宋体" w:hint="eastAsia"/>
          <w:sz w:val="32"/>
          <w:szCs w:val="32"/>
        </w:rPr>
        <w:t>〔</w:t>
      </w:r>
      <w:r>
        <w:rPr>
          <w:rFonts w:ascii="仿宋_GB2312" w:eastAsia="仿宋_GB2312" w:hAnsi="宋体" w:hint="eastAsia"/>
          <w:sz w:val="32"/>
          <w:szCs w:val="32"/>
        </w:rPr>
        <w:t>2022</w:t>
      </w:r>
      <w:r>
        <w:rPr>
          <w:rFonts w:ascii="仿宋_GB2312" w:eastAsia="仿宋_GB2312" w:hAnsi="宋体" w:hint="eastAsia"/>
          <w:sz w:val="32"/>
          <w:szCs w:val="32"/>
        </w:rPr>
        <w:t>〕</w:t>
      </w:r>
      <w:r>
        <w:rPr>
          <w:rFonts w:ascii="仿宋_GB2312" w:eastAsia="仿宋_GB2312" w:hAnsi="宋体"/>
          <w:sz w:val="32"/>
          <w:szCs w:val="32"/>
          <w:lang w:val="en"/>
        </w:rPr>
        <w:t>1</w:t>
      </w:r>
      <w:r>
        <w:rPr>
          <w:rFonts w:ascii="仿宋_GB2312" w:eastAsia="仿宋_GB2312" w:hAnsi="宋体" w:hint="eastAsia"/>
          <w:sz w:val="32"/>
          <w:szCs w:val="32"/>
        </w:rPr>
        <w:t>号</w:t>
      </w:r>
    </w:p>
    <w:p w:rsidR="009D64F6" w:rsidRDefault="004F1048">
      <w:pPr>
        <w:tabs>
          <w:tab w:val="left" w:pos="790"/>
        </w:tabs>
        <w:adjustRightInd w:val="0"/>
        <w:snapToGrid w:val="0"/>
        <w:spacing w:line="336" w:lineRule="auto"/>
        <w:jc w:val="center"/>
        <w:rPr>
          <w:rFonts w:ascii="黑体" w:eastAsia="黑体"/>
          <w:szCs w:val="32"/>
        </w:rPr>
      </w:pPr>
      <w:r>
        <w:rPr>
          <w:rFonts w:hint="eastAsia"/>
          <w:noProof/>
          <w:szCs w:val="30"/>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pt,1.35pt" to="44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" strokecolor="red" strokeweight="1.5pt"/>
            </w:pict>
          </mc:Fallback>
        </mc:AlternateContent>
      </w:r>
    </w:p>
    <w:p w:rsidR="009D64F6" w:rsidRDefault="009D64F6">
      <w:pPr>
        <w:adjustRightInd w:val="0"/>
        <w:snapToGrid w:val="0"/>
        <w:spacing w:line="140" w:lineRule="exact"/>
        <w:jc w:val="center"/>
        <w:rPr>
          <w:rFonts w:ascii="黑体" w:eastAsia="黑体"/>
          <w:szCs w:val="32"/>
        </w:rPr>
      </w:pPr>
    </w:p>
    <w:p w:rsidR="009D64F6" w:rsidRDefault="004F1048">
      <w:pPr>
        <w:adjustRightInd w:val="0"/>
        <w:snapToGrid w:val="0"/>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上海市徐汇区市场监督管理局</w:t>
      </w:r>
    </w:p>
    <w:p w:rsidR="009D64F6" w:rsidRDefault="004F1048">
      <w:pPr>
        <w:adjustRightInd w:val="0"/>
        <w:snapToGrid w:val="0"/>
        <w:spacing w:line="64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关于印发</w:t>
      </w:r>
      <w:proofErr w:type="gramStart"/>
      <w:r>
        <w:rPr>
          <w:rFonts w:ascii="方正小标宋简体" w:eastAsia="方正小标宋简体" w:hAnsi="华文中宋" w:hint="eastAsia"/>
          <w:sz w:val="44"/>
          <w:szCs w:val="44"/>
        </w:rPr>
        <w:t>《</w:t>
      </w:r>
      <w:proofErr w:type="gramEnd"/>
      <w:r>
        <w:rPr>
          <w:rFonts w:ascii="方正小标宋简体" w:eastAsia="方正小标宋简体" w:hAnsi="华文中宋" w:hint="eastAsia"/>
          <w:sz w:val="44"/>
          <w:szCs w:val="44"/>
        </w:rPr>
        <w:t>徐汇区加快知识产权高质量发展</w:t>
      </w:r>
    </w:p>
    <w:p w:rsidR="009D64F6" w:rsidRDefault="004F1048">
      <w:pPr>
        <w:adjustRightInd w:val="0"/>
        <w:snapToGrid w:val="0"/>
        <w:spacing w:line="64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扶持办法</w:t>
      </w:r>
      <w:proofErr w:type="gramStart"/>
      <w:r>
        <w:rPr>
          <w:rFonts w:ascii="方正小标宋简体" w:eastAsia="方正小标宋简体" w:hAnsi="华文中宋" w:hint="eastAsia"/>
          <w:sz w:val="44"/>
          <w:szCs w:val="44"/>
        </w:rPr>
        <w:t>》</w:t>
      </w:r>
      <w:proofErr w:type="gramEnd"/>
      <w:r>
        <w:rPr>
          <w:rFonts w:ascii="方正小标宋简体" w:eastAsia="方正小标宋简体" w:hAnsi="华文中宋" w:hint="eastAsia"/>
          <w:sz w:val="44"/>
          <w:szCs w:val="44"/>
        </w:rPr>
        <w:t>的通知</w:t>
      </w:r>
    </w:p>
    <w:p w:rsidR="009D64F6" w:rsidRDefault="009D64F6">
      <w:pPr>
        <w:tabs>
          <w:tab w:val="left" w:pos="1843"/>
        </w:tabs>
        <w:adjustRightInd w:val="0"/>
        <w:snapToGrid w:val="0"/>
        <w:spacing w:line="516" w:lineRule="exact"/>
        <w:ind w:right="624"/>
        <w:rPr>
          <w:rFonts w:ascii="仿宋_GB2312" w:eastAsia="仿宋_GB2312" w:hAnsi="仿宋" w:cs="Times New Roman"/>
          <w:spacing w:val="-4"/>
          <w:kern w:val="0"/>
          <w:sz w:val="32"/>
          <w:szCs w:val="32"/>
        </w:rPr>
      </w:pPr>
    </w:p>
    <w:p w:rsidR="009D64F6" w:rsidRDefault="004F1048">
      <w:pPr>
        <w:adjustRightInd w:val="0"/>
        <w:snapToGrid w:val="0"/>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区知识产权联席会议成员单位，各街道、华</w:t>
      </w:r>
      <w:proofErr w:type="gramStart"/>
      <w:r>
        <w:rPr>
          <w:rFonts w:ascii="仿宋_GB2312" w:eastAsia="仿宋_GB2312" w:hAnsi="宋体" w:cs="宋体" w:hint="eastAsia"/>
          <w:kern w:val="0"/>
          <w:sz w:val="32"/>
          <w:szCs w:val="32"/>
        </w:rPr>
        <w:t>泾</w:t>
      </w:r>
      <w:proofErr w:type="gramEnd"/>
      <w:r>
        <w:rPr>
          <w:rFonts w:ascii="仿宋_GB2312" w:eastAsia="仿宋_GB2312" w:hAnsi="宋体" w:cs="宋体" w:hint="eastAsia"/>
          <w:kern w:val="0"/>
          <w:sz w:val="32"/>
          <w:szCs w:val="32"/>
        </w:rPr>
        <w:t>镇，各功能区公司：</w:t>
      </w:r>
    </w:p>
    <w:p w:rsidR="009D64F6" w:rsidRDefault="004F1048">
      <w:pPr>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经区政府同意，现将《徐汇区加快知识产权高质量发展扶持办法</w:t>
      </w:r>
      <w:proofErr w:type="gramStart"/>
      <w:r>
        <w:rPr>
          <w:rFonts w:ascii="仿宋_GB2312" w:eastAsia="仿宋_GB2312" w:hAnsi="宋体" w:cs="宋体" w:hint="eastAsia"/>
          <w:kern w:val="0"/>
          <w:sz w:val="32"/>
          <w:szCs w:val="32"/>
        </w:rPr>
        <w:t>》</w:t>
      </w:r>
      <w:proofErr w:type="gramEnd"/>
      <w:r>
        <w:rPr>
          <w:rFonts w:ascii="仿宋_GB2312" w:eastAsia="仿宋_GB2312" w:hAnsi="宋体" w:cs="宋体" w:hint="eastAsia"/>
          <w:kern w:val="0"/>
          <w:sz w:val="32"/>
          <w:szCs w:val="32"/>
        </w:rPr>
        <w:t>印发给你们，</w:t>
      </w:r>
      <w:r>
        <w:rPr>
          <w:rFonts w:ascii="仿宋_GB2312" w:eastAsia="仿宋_GB2312" w:hAnsi="宋体" w:cs="宋体"/>
          <w:kern w:val="0"/>
          <w:sz w:val="32"/>
          <w:szCs w:val="32"/>
        </w:rPr>
        <w:t>请按照执行</w:t>
      </w:r>
      <w:r>
        <w:rPr>
          <w:rFonts w:ascii="仿宋_GB2312" w:eastAsia="仿宋_GB2312" w:hAnsi="宋体" w:cs="宋体" w:hint="eastAsia"/>
          <w:kern w:val="0"/>
          <w:sz w:val="32"/>
          <w:szCs w:val="32"/>
        </w:rPr>
        <w:t>。</w:t>
      </w:r>
    </w:p>
    <w:p w:rsidR="009D64F6" w:rsidRDefault="004F1048">
      <w:pPr>
        <w:adjustRightInd w:val="0"/>
        <w:snapToGrid w:val="0"/>
        <w:spacing w:line="360" w:lineRule="auto"/>
        <w:ind w:firstLineChars="200" w:firstLine="640"/>
        <w:jc w:val="left"/>
        <w:rPr>
          <w:rFonts w:ascii="仿宋_GB2312" w:eastAsia="仿宋_GB2312" w:hAnsi="华文中宋" w:cs="Times New Roman"/>
          <w:sz w:val="32"/>
          <w:szCs w:val="32"/>
        </w:rPr>
      </w:pPr>
      <w:r>
        <w:rPr>
          <w:rFonts w:ascii="仿宋_GB2312" w:eastAsia="仿宋_GB2312" w:hAnsi="华文中宋" w:cs="Times New Roman" w:hint="eastAsia"/>
          <w:sz w:val="32"/>
          <w:szCs w:val="32"/>
        </w:rPr>
        <w:t xml:space="preserve"> </w:t>
      </w:r>
    </w:p>
    <w:p w:rsidR="009D64F6" w:rsidRDefault="009D64F6">
      <w:pPr>
        <w:adjustRightInd w:val="0"/>
        <w:snapToGrid w:val="0"/>
        <w:spacing w:line="360" w:lineRule="auto"/>
        <w:ind w:firstLineChars="200" w:firstLine="640"/>
        <w:jc w:val="left"/>
        <w:rPr>
          <w:rFonts w:ascii="仿宋_GB2312" w:eastAsia="仿宋_GB2312" w:hAnsi="华文中宋" w:cs="Times New Roman"/>
          <w:sz w:val="32"/>
          <w:szCs w:val="32"/>
        </w:rPr>
      </w:pPr>
    </w:p>
    <w:p w:rsidR="009D64F6" w:rsidRDefault="004F1048">
      <w:pPr>
        <w:adjustRightInd w:val="0"/>
        <w:snapToGrid w:val="0"/>
        <w:spacing w:line="360" w:lineRule="auto"/>
        <w:ind w:firstLineChars="200" w:firstLine="624"/>
        <w:jc w:val="right"/>
        <w:rPr>
          <w:rFonts w:ascii="仿宋_GB2312" w:eastAsia="仿宋_GB2312" w:hAnsi="宋体" w:cs="宋体"/>
          <w:kern w:val="0"/>
          <w:sz w:val="32"/>
          <w:szCs w:val="32"/>
        </w:rPr>
      </w:pPr>
      <w:r>
        <w:rPr>
          <w:rFonts w:ascii="仿宋_GB2312" w:eastAsia="仿宋_GB2312" w:hAnsi="仿宋" w:cs="Times New Roman" w:hint="eastAsia"/>
          <w:spacing w:val="-4"/>
          <w:kern w:val="0"/>
          <w:sz w:val="32"/>
          <w:szCs w:val="32"/>
        </w:rPr>
        <w:t xml:space="preserve"> </w:t>
      </w:r>
      <w:r>
        <w:rPr>
          <w:rFonts w:ascii="仿宋_GB2312" w:eastAsia="仿宋_GB2312" w:hAnsi="仿宋" w:cs="Times New Roman" w:hint="eastAsia"/>
          <w:spacing w:val="-4"/>
          <w:kern w:val="0"/>
          <w:sz w:val="32"/>
          <w:szCs w:val="32"/>
        </w:rPr>
        <w:t>上海市徐汇区市场监督管理局</w:t>
      </w:r>
    </w:p>
    <w:p w:rsidR="009D64F6" w:rsidRDefault="004F1048">
      <w:pPr>
        <w:tabs>
          <w:tab w:val="left" w:pos="1843"/>
        </w:tabs>
        <w:adjustRightInd w:val="0"/>
        <w:snapToGrid w:val="0"/>
        <w:spacing w:line="360" w:lineRule="auto"/>
        <w:ind w:right="624" w:firstLineChars="200" w:firstLine="624"/>
        <w:jc w:val="center"/>
        <w:rPr>
          <w:rFonts w:ascii="仿宋_GB2312" w:eastAsia="仿宋_GB2312" w:hAnsi="仿宋" w:cs="Times New Roman"/>
          <w:spacing w:val="-4"/>
          <w:kern w:val="0"/>
          <w:sz w:val="32"/>
          <w:szCs w:val="32"/>
        </w:rPr>
      </w:pPr>
      <w:r>
        <w:rPr>
          <w:rFonts w:ascii="仿宋_GB2312" w:eastAsia="仿宋_GB2312" w:hAnsi="仿宋" w:cs="Times New Roman" w:hint="eastAsia"/>
          <w:spacing w:val="-4"/>
          <w:kern w:val="0"/>
          <w:sz w:val="32"/>
          <w:szCs w:val="32"/>
        </w:rPr>
        <w:t xml:space="preserve">                                 </w:t>
      </w:r>
      <w:r>
        <w:rPr>
          <w:rFonts w:ascii="仿宋_GB2312" w:eastAsia="仿宋_GB2312" w:hAnsi="仿宋" w:cs="Times New Roman" w:hint="eastAsia"/>
          <w:spacing w:val="-4"/>
          <w:kern w:val="0"/>
          <w:sz w:val="32"/>
          <w:szCs w:val="32"/>
        </w:rPr>
        <w:t>（知识产权局）</w:t>
      </w:r>
    </w:p>
    <w:p w:rsidR="009D64F6" w:rsidRDefault="004F1048">
      <w:pPr>
        <w:tabs>
          <w:tab w:val="left" w:pos="1843"/>
        </w:tabs>
        <w:adjustRightInd w:val="0"/>
        <w:snapToGrid w:val="0"/>
        <w:spacing w:line="360" w:lineRule="auto"/>
        <w:ind w:firstLineChars="200" w:firstLine="624"/>
        <w:jc w:val="center"/>
        <w:rPr>
          <w:rFonts w:ascii="仿宋_GB2312" w:eastAsia="仿宋_GB2312" w:hAnsi="仿宋" w:cs="Times New Roman"/>
          <w:spacing w:val="-4"/>
          <w:kern w:val="0"/>
          <w:sz w:val="32"/>
          <w:szCs w:val="32"/>
        </w:rPr>
        <w:sectPr w:rsidR="009D64F6">
          <w:footerReference w:type="even" r:id="rId8"/>
          <w:footerReference w:type="default" r:id="rId9"/>
          <w:pgSz w:w="11906" w:h="16838"/>
          <w:pgMar w:top="2098" w:right="1474" w:bottom="1984" w:left="1588" w:header="851" w:footer="1417" w:gutter="0"/>
          <w:pgNumType w:start="1"/>
          <w:cols w:space="0"/>
          <w:docGrid w:type="lines" w:linePitch="312"/>
        </w:sectPr>
      </w:pPr>
      <w:r>
        <w:rPr>
          <w:rFonts w:ascii="仿宋_GB2312" w:eastAsia="仿宋_GB2312" w:hAnsi="仿宋" w:cs="Times New Roman" w:hint="eastAsia"/>
          <w:spacing w:val="-4"/>
          <w:kern w:val="0"/>
          <w:sz w:val="32"/>
          <w:szCs w:val="32"/>
        </w:rPr>
        <w:t xml:space="preserve">                            </w:t>
      </w:r>
      <w:r>
        <w:rPr>
          <w:rFonts w:ascii="仿宋_GB2312" w:eastAsia="仿宋_GB2312" w:hAnsi="仿宋" w:cs="Times New Roman" w:hint="eastAsia"/>
          <w:spacing w:val="-4"/>
          <w:kern w:val="0"/>
          <w:sz w:val="32"/>
          <w:szCs w:val="32"/>
        </w:rPr>
        <w:t xml:space="preserve">  </w:t>
      </w:r>
      <w:r>
        <w:rPr>
          <w:rFonts w:ascii="仿宋_GB2312" w:eastAsia="仿宋_GB2312" w:hAnsi="宋体" w:cs="宋体" w:hint="eastAsia"/>
          <w:kern w:val="0"/>
          <w:sz w:val="32"/>
          <w:szCs w:val="32"/>
        </w:rPr>
        <w:t>2022</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24</w:t>
      </w:r>
      <w:r>
        <w:rPr>
          <w:rFonts w:ascii="仿宋_GB2312" w:eastAsia="仿宋_GB2312" w:hAnsi="宋体" w:cs="宋体" w:hint="eastAsia"/>
          <w:kern w:val="0"/>
          <w:sz w:val="32"/>
          <w:szCs w:val="32"/>
        </w:rPr>
        <w:t>日</w:t>
      </w:r>
      <w:r>
        <w:rPr>
          <w:rFonts w:ascii="仿宋_GB2312" w:eastAsia="仿宋_GB2312" w:hAnsi="仿宋" w:cs="Times New Roman" w:hint="eastAsia"/>
          <w:spacing w:val="-4"/>
          <w:kern w:val="0"/>
          <w:sz w:val="32"/>
          <w:szCs w:val="32"/>
        </w:rPr>
        <w:t xml:space="preserve">                     </w:t>
      </w:r>
    </w:p>
    <w:bookmarkEnd w:id="0"/>
    <w:p w:rsidR="009D64F6" w:rsidRDefault="004F1048">
      <w:pPr>
        <w:adjustRightInd w:val="0"/>
        <w:snapToGrid w:val="0"/>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徐汇区加快知识产权高质量发展扶持办法</w:t>
      </w:r>
    </w:p>
    <w:p w:rsidR="009D64F6" w:rsidRDefault="009D64F6">
      <w:pPr>
        <w:adjustRightInd w:val="0"/>
        <w:snapToGrid w:val="0"/>
        <w:spacing w:line="360" w:lineRule="auto"/>
        <w:ind w:firstLineChars="200" w:firstLine="560"/>
        <w:jc w:val="center"/>
        <w:rPr>
          <w:rFonts w:ascii="黑体" w:eastAsia="黑体" w:hAnsi="黑体"/>
          <w:sz w:val="28"/>
          <w:szCs w:val="28"/>
        </w:rPr>
      </w:pP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为助力徐汇打造知识产权战略发展高地，扩大知识产权政策的覆盖面，增强政策衔接及可持续性并全面贯彻落实《上海市实施专利转化专项计划工作方案（</w:t>
      </w:r>
      <w:r>
        <w:rPr>
          <w:rFonts w:ascii="仿宋_GB2312" w:eastAsia="仿宋_GB2312" w:hAnsi="宋体" w:hint="eastAsia"/>
          <w:color w:val="000000"/>
          <w:sz w:val="32"/>
          <w:szCs w:val="32"/>
        </w:rPr>
        <w:t>2021-2023</w:t>
      </w:r>
      <w:r>
        <w:rPr>
          <w:rFonts w:ascii="仿宋_GB2312" w:eastAsia="仿宋_GB2312" w:hAnsi="宋体" w:hint="eastAsia"/>
          <w:color w:val="000000"/>
          <w:sz w:val="32"/>
          <w:szCs w:val="32"/>
        </w:rPr>
        <w:t>）》（</w:t>
      </w:r>
      <w:proofErr w:type="gramStart"/>
      <w:r>
        <w:rPr>
          <w:rFonts w:ascii="仿宋_GB2312" w:eastAsia="仿宋_GB2312" w:hAnsi="宋体" w:hint="eastAsia"/>
          <w:color w:val="000000"/>
          <w:sz w:val="32"/>
          <w:szCs w:val="32"/>
        </w:rPr>
        <w:t>沪知局</w:t>
      </w:r>
      <w:proofErr w:type="gramEnd"/>
      <w:r>
        <w:rPr>
          <w:rFonts w:ascii="仿宋_GB2312" w:eastAsia="仿宋_GB2312" w:hAnsi="宋体" w:hint="eastAsia"/>
          <w:color w:val="000000"/>
          <w:sz w:val="32"/>
          <w:szCs w:val="32"/>
        </w:rPr>
        <w:t>〔</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17</w:t>
      </w:r>
      <w:r>
        <w:rPr>
          <w:rFonts w:ascii="仿宋_GB2312" w:eastAsia="仿宋_GB2312" w:hAnsi="宋体" w:hint="eastAsia"/>
          <w:color w:val="000000"/>
          <w:sz w:val="32"/>
          <w:szCs w:val="32"/>
        </w:rPr>
        <w:t>号）要求，更好发挥徐汇区知识产权服务业集聚优势，提升徐汇高等院校、科研院所专利转化实施效益，促进徐汇专利技术成果更多惠及中小企业，推动徐汇知识产权高质量发展，提升区域创新能力，加快产业经济升级转型，特制定本办法。</w:t>
      </w:r>
    </w:p>
    <w:p w:rsidR="009D64F6" w:rsidRDefault="004F1048">
      <w:pPr>
        <w:adjustRightInd w:val="0"/>
        <w:snapToGrid w:val="0"/>
        <w:spacing w:line="360" w:lineRule="auto"/>
        <w:ind w:firstLineChars="200" w:firstLine="640"/>
        <w:rPr>
          <w:rFonts w:ascii="黑体" w:eastAsia="黑体" w:hAnsi="宋体"/>
          <w:color w:val="000000"/>
          <w:sz w:val="32"/>
          <w:szCs w:val="32"/>
        </w:rPr>
      </w:pPr>
      <w:r>
        <w:rPr>
          <w:rFonts w:ascii="黑体" w:eastAsia="黑体" w:hAnsi="宋体" w:hint="eastAsia"/>
          <w:color w:val="000000"/>
          <w:sz w:val="32"/>
          <w:szCs w:val="32"/>
        </w:rPr>
        <w:t>一、适用范围</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本办法所称的知识产权服务业是指提供专利、商标等各类</w:t>
      </w:r>
      <w:r>
        <w:rPr>
          <w:rFonts w:ascii="仿宋_GB2312" w:eastAsia="仿宋_GB2312" w:hAnsi="宋体" w:hint="eastAsia"/>
          <w:color w:val="000000"/>
          <w:spacing w:val="-6"/>
          <w:sz w:val="32"/>
          <w:szCs w:val="32"/>
        </w:rPr>
        <w:t>知识产权服务，促进智力成果权利化、商用化、产业化的服务业。</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本办法适用于工商注册在徐汇区的企业、高等院校、科研院所、知识产权研究机构、知识产权服务机构、法律服务机构、行业协会以及产业园区、知识产权园区、产业知识产权联盟、医疗机构等各</w:t>
      </w:r>
      <w:proofErr w:type="gramStart"/>
      <w:r>
        <w:rPr>
          <w:rFonts w:ascii="仿宋_GB2312" w:eastAsia="仿宋_GB2312" w:hAnsi="宋体" w:hint="eastAsia"/>
          <w:color w:val="000000"/>
          <w:sz w:val="32"/>
          <w:szCs w:val="32"/>
        </w:rPr>
        <w:t>类创新</w:t>
      </w:r>
      <w:proofErr w:type="gramEnd"/>
      <w:r>
        <w:rPr>
          <w:rFonts w:ascii="仿宋_GB2312" w:eastAsia="仿宋_GB2312" w:hAnsi="宋体" w:hint="eastAsia"/>
          <w:color w:val="000000"/>
          <w:sz w:val="32"/>
          <w:szCs w:val="32"/>
        </w:rPr>
        <w:t>及服务主体，或工商注册不在徐汇区但主要创新活动在徐汇区的高等院校、科研院所、医疗机构等创新主体，其经营状态正常、信用记录良好，具有承担项目建设的相应能力。</w:t>
      </w:r>
    </w:p>
    <w:p w:rsidR="009D64F6" w:rsidRDefault="004F1048">
      <w:pPr>
        <w:adjustRightInd w:val="0"/>
        <w:snapToGrid w:val="0"/>
        <w:spacing w:line="360" w:lineRule="auto"/>
        <w:ind w:firstLineChars="200" w:firstLine="640"/>
        <w:rPr>
          <w:rFonts w:ascii="黑体" w:eastAsia="黑体" w:hAnsi="宋体"/>
          <w:color w:val="000000"/>
          <w:sz w:val="32"/>
          <w:szCs w:val="32"/>
        </w:rPr>
      </w:pPr>
      <w:r>
        <w:rPr>
          <w:rFonts w:ascii="黑体" w:eastAsia="黑体" w:hAnsi="宋体" w:hint="eastAsia"/>
          <w:color w:val="000000"/>
          <w:sz w:val="32"/>
          <w:szCs w:val="32"/>
        </w:rPr>
        <w:t>二、扶持内容</w:t>
      </w:r>
    </w:p>
    <w:p w:rsidR="009D64F6" w:rsidRDefault="004F1048">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（一）加强知识产权服务机构培育，促进知识产权服务机构业务多元化。扶持知识产权服务机构做大做强，经认定，对</w:t>
      </w:r>
      <w:r>
        <w:rPr>
          <w:rFonts w:ascii="仿宋_GB2312" w:eastAsia="仿宋_GB2312" w:hAnsi="仿宋_GB2312" w:cs="仿宋_GB2312" w:hint="eastAsia"/>
          <w:color w:val="000000"/>
          <w:sz w:val="32"/>
          <w:szCs w:val="32"/>
        </w:rPr>
        <w:t>知识产权服务机构的年度知识产权相关业务营业收入首次达到</w:t>
      </w:r>
      <w:r>
        <w:rPr>
          <w:rFonts w:ascii="仿宋_GB2312" w:eastAsia="仿宋_GB2312" w:hAnsi="仿宋_GB2312" w:cs="仿宋_GB2312" w:hint="eastAsia"/>
          <w:color w:val="000000"/>
          <w:sz w:val="32"/>
          <w:szCs w:val="32"/>
        </w:rPr>
        <w:t>1000</w:t>
      </w:r>
      <w:r>
        <w:rPr>
          <w:rFonts w:ascii="仿宋_GB2312" w:eastAsia="仿宋_GB2312" w:hAnsi="仿宋_GB2312" w:cs="仿宋_GB2312" w:hint="eastAsia"/>
          <w:color w:val="000000"/>
          <w:sz w:val="32"/>
          <w:szCs w:val="32"/>
        </w:rPr>
        <w:t>万元以上给予一次性奖励最高</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吸引国内外头部运营服务机构，支持重大功能型平台发展。支持世界知识产权组织在中国设立的分支机构或者上海市、徐汇区政府重点引进的知识产权机构落户徐汇。加快完善功能型平台公共服务机制，优化市场环境，支持知识产权相关的交易中心、服务中心、信息中心、</w:t>
      </w:r>
      <w:proofErr w:type="gramStart"/>
      <w:r>
        <w:rPr>
          <w:rFonts w:ascii="仿宋_GB2312" w:eastAsia="仿宋_GB2312" w:hAnsi="仿宋_GB2312" w:cs="仿宋_GB2312" w:hint="eastAsia"/>
          <w:color w:val="000000"/>
          <w:sz w:val="32"/>
          <w:szCs w:val="32"/>
        </w:rPr>
        <w:t>审协中心</w:t>
      </w:r>
      <w:proofErr w:type="gramEnd"/>
      <w:r>
        <w:rPr>
          <w:rFonts w:ascii="仿宋_GB2312" w:eastAsia="仿宋_GB2312" w:hAnsi="仿宋_GB2312" w:cs="仿宋_GB2312" w:hint="eastAsia"/>
          <w:color w:val="000000"/>
          <w:sz w:val="32"/>
          <w:szCs w:val="32"/>
        </w:rPr>
        <w:t>、保护中心等品牌机构集聚发展，发挥集聚区知识产权全链条功能作用，推动区域知识产权全方位发展。</w:t>
      </w:r>
    </w:p>
    <w:p w:rsidR="009D64F6" w:rsidRDefault="004F1048">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（三）支持开展专利导航工作。经认定的企业经营、研发活动、人才管理</w:t>
      </w:r>
      <w:r>
        <w:rPr>
          <w:rFonts w:ascii="仿宋_GB2312" w:eastAsia="仿宋_GB2312" w:hAnsi="仿宋_GB2312" w:cs="仿宋_GB2312" w:hint="eastAsia"/>
          <w:color w:val="000000"/>
          <w:sz w:val="32"/>
          <w:szCs w:val="32"/>
        </w:rPr>
        <w:t>类专利导航项目，给予项目总额</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的财政补助，单个项目总额最高</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（四）鼓励知识产权创造和海外布局。对经认定通过</w:t>
      </w:r>
      <w:r>
        <w:rPr>
          <w:rFonts w:ascii="仿宋_GB2312" w:eastAsia="仿宋_GB2312" w:hAnsi="仿宋_GB2312" w:cs="仿宋_GB2312" w:hint="eastAsia"/>
          <w:color w:val="000000"/>
          <w:sz w:val="32"/>
          <w:szCs w:val="32"/>
        </w:rPr>
        <w:t>PCT</w:t>
      </w:r>
      <w:r>
        <w:rPr>
          <w:rFonts w:ascii="仿宋_GB2312" w:eastAsia="仿宋_GB2312" w:hAnsi="仿宋_GB2312" w:cs="仿宋_GB2312" w:hint="eastAsia"/>
          <w:color w:val="000000"/>
          <w:sz w:val="32"/>
          <w:szCs w:val="32"/>
        </w:rPr>
        <w:t>途径且经过有关专利审查机构实</w:t>
      </w:r>
      <w:proofErr w:type="gramStart"/>
      <w:r>
        <w:rPr>
          <w:rFonts w:ascii="仿宋_GB2312" w:eastAsia="仿宋_GB2312" w:hAnsi="仿宋_GB2312" w:cs="仿宋_GB2312" w:hint="eastAsia"/>
          <w:color w:val="000000"/>
          <w:sz w:val="32"/>
          <w:szCs w:val="32"/>
        </w:rPr>
        <w:t>审获得</w:t>
      </w:r>
      <w:proofErr w:type="gramEnd"/>
      <w:r>
        <w:rPr>
          <w:rFonts w:ascii="仿宋_GB2312" w:eastAsia="仿宋_GB2312" w:hAnsi="仿宋_GB2312" w:cs="仿宋_GB2312" w:hint="eastAsia"/>
          <w:color w:val="000000"/>
          <w:sz w:val="32"/>
          <w:szCs w:val="32"/>
        </w:rPr>
        <w:t>国外授权的发明专利给予一次性奖励，奖励金额为获得专利授权而缴纳给有关专利管理部门的注册费、审查费等官方费用的</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，每件最高</w:t>
      </w:r>
      <w:r>
        <w:rPr>
          <w:rFonts w:ascii="仿宋_GB2312" w:eastAsia="仿宋_GB2312" w:hAnsi="仿宋_GB2312" w:cs="仿宋_GB2312" w:hint="eastAsia"/>
          <w:color w:val="000000"/>
          <w:sz w:val="32"/>
          <w:szCs w:val="32"/>
        </w:rPr>
        <w:t>4500</w:t>
      </w:r>
      <w:r>
        <w:rPr>
          <w:rFonts w:ascii="仿宋_GB2312" w:eastAsia="仿宋_GB2312" w:hAnsi="仿宋_GB2312" w:cs="仿宋_GB2312" w:hint="eastAsia"/>
          <w:color w:val="000000"/>
          <w:sz w:val="32"/>
          <w:szCs w:val="32"/>
        </w:rPr>
        <w:t>元。</w:t>
      </w:r>
    </w:p>
    <w:p w:rsidR="009D64F6" w:rsidRDefault="004F1048">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（五）支持</w:t>
      </w:r>
      <w:r>
        <w:rPr>
          <w:rFonts w:ascii="仿宋_GB2312" w:eastAsia="仿宋_GB2312" w:hAnsi="宋体" w:hint="eastAsia"/>
          <w:color w:val="000000"/>
          <w:sz w:val="32"/>
          <w:szCs w:val="32"/>
        </w:rPr>
        <w:t>高等院校、科研</w:t>
      </w:r>
      <w:r>
        <w:rPr>
          <w:rFonts w:ascii="仿宋_GB2312" w:eastAsia="仿宋_GB2312" w:hAnsi="仿宋_GB2312" w:cs="仿宋_GB2312" w:hint="eastAsia"/>
          <w:color w:val="000000"/>
          <w:sz w:val="32"/>
          <w:szCs w:val="32"/>
        </w:rPr>
        <w:t>院所、企业开展高价值专利组合培育项目，经认定，给予每个组合最高</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万元的一次性奖励。</w:t>
      </w:r>
    </w:p>
    <w:p w:rsidR="009D64F6" w:rsidRDefault="004F1048">
      <w:pPr>
        <w:pStyle w:val="a3"/>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仿宋_GB2312" w:cs="仿宋_GB2312" w:hint="eastAsia"/>
          <w:color w:val="000000"/>
          <w:sz w:val="32"/>
          <w:szCs w:val="32"/>
        </w:rPr>
        <w:t>（六）支持</w:t>
      </w:r>
      <w:r>
        <w:rPr>
          <w:rFonts w:ascii="仿宋_GB2312" w:eastAsia="仿宋_GB2312" w:hAnsi="宋体" w:hint="eastAsia"/>
          <w:color w:val="000000"/>
          <w:sz w:val="32"/>
          <w:szCs w:val="32"/>
        </w:rPr>
        <w:t>高等院校、科研院所、医疗机构等</w:t>
      </w:r>
      <w:r>
        <w:rPr>
          <w:rFonts w:ascii="仿宋_GB2312" w:eastAsia="仿宋_GB2312" w:hAnsi="仿宋_GB2312" w:cs="仿宋_GB2312" w:hint="eastAsia"/>
          <w:color w:val="000000"/>
          <w:sz w:val="32"/>
          <w:szCs w:val="32"/>
        </w:rPr>
        <w:t>申报国家和市级知识产权奖项和项目。对首次获评国家级知识产权荣誉称</w:t>
      </w:r>
      <w:r>
        <w:rPr>
          <w:rFonts w:ascii="仿宋_GB2312" w:eastAsia="仿宋_GB2312" w:hAnsi="仿宋_GB2312" w:cs="仿宋_GB2312" w:hint="eastAsia"/>
          <w:color w:val="000000"/>
          <w:sz w:val="32"/>
          <w:szCs w:val="32"/>
        </w:rPr>
        <w:t>号的高等院校、科研院所、医疗机构等，经认定，给予一次性最高</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万元的奖励，对获评多个奖项的不重复奖励。对获评“中国专利金奖”的高等院校、科研院所、医疗机构等，经认定，给予一次性最高</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万元的奖励。对获评市级及以上知识产权试点园区、示范园区的，经认定，分别给予一次性最高</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万元的奖励。对获评市级专利工作试点单位、示范单位和市知识产权创新奖的，经认定，按照市级资助金额的</w:t>
      </w:r>
      <w:r>
        <w:rPr>
          <w:rFonts w:ascii="仿宋_GB2312" w:eastAsia="仿宋_GB2312" w:hAnsi="仿宋_GB2312" w:cs="仿宋_GB2312" w:hint="eastAsia"/>
          <w:color w:val="000000"/>
          <w:sz w:val="32"/>
          <w:szCs w:val="32"/>
        </w:rPr>
        <w:t xml:space="preserve"> 1:1</w:t>
      </w:r>
      <w:r>
        <w:rPr>
          <w:rFonts w:ascii="仿宋_GB2312" w:eastAsia="仿宋_GB2312" w:hAnsi="宋体" w:hint="eastAsia"/>
          <w:color w:val="000000"/>
          <w:sz w:val="32"/>
          <w:szCs w:val="32"/>
        </w:rPr>
        <w:t>给予配套支持。</w:t>
      </w:r>
    </w:p>
    <w:p w:rsidR="009D64F6" w:rsidRDefault="004F1048">
      <w:pPr>
        <w:pStyle w:val="a3"/>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color w:val="000000"/>
          <w:sz w:val="32"/>
          <w:szCs w:val="32"/>
        </w:rPr>
        <w:t>（七）支持知识产权维权保护，对通过法律手段依法维护知识产权并胜诉的企业，依申请，经认定，对其司法鉴定费、公证</w:t>
      </w:r>
      <w:r>
        <w:rPr>
          <w:rFonts w:ascii="仿宋_GB2312" w:eastAsia="仿宋_GB2312" w:hAnsi="宋体" w:hint="eastAsia"/>
          <w:color w:val="000000"/>
          <w:sz w:val="32"/>
          <w:szCs w:val="32"/>
        </w:rPr>
        <w:t>费、诉讼费、仲裁费、调解法律服务费等给予</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的扶持，同一单位年度扶持最高</w:t>
      </w:r>
      <w:r>
        <w:rPr>
          <w:rFonts w:ascii="仿宋_GB2312" w:eastAsia="仿宋_GB2312" w:hAnsi="宋体" w:hint="eastAsia"/>
          <w:color w:val="000000"/>
          <w:sz w:val="32"/>
          <w:szCs w:val="32"/>
        </w:rPr>
        <w:t>10</w:t>
      </w:r>
      <w:r>
        <w:rPr>
          <w:rFonts w:ascii="仿宋_GB2312" w:eastAsia="仿宋_GB2312" w:hAnsi="宋体" w:hint="eastAsia"/>
          <w:sz w:val="32"/>
          <w:szCs w:val="32"/>
        </w:rPr>
        <w:t>万元；对事关我市行业或产业重大利益的企业海外维权援助，给予维权费用</w:t>
      </w:r>
      <w:r>
        <w:rPr>
          <w:rFonts w:ascii="仿宋_GB2312" w:eastAsia="仿宋_GB2312" w:hAnsi="宋体" w:hint="eastAsia"/>
          <w:sz w:val="32"/>
          <w:szCs w:val="32"/>
        </w:rPr>
        <w:t>50%</w:t>
      </w:r>
      <w:r>
        <w:rPr>
          <w:rFonts w:ascii="仿宋_GB2312" w:eastAsia="仿宋_GB2312" w:hAnsi="宋体" w:hint="eastAsia"/>
          <w:sz w:val="32"/>
          <w:szCs w:val="32"/>
        </w:rPr>
        <w:t>的补助，单个最高</w:t>
      </w:r>
      <w:r>
        <w:rPr>
          <w:rFonts w:ascii="仿宋_GB2312" w:eastAsia="仿宋_GB2312" w:hAnsi="宋体" w:hint="eastAsia"/>
          <w:sz w:val="32"/>
          <w:szCs w:val="32"/>
        </w:rPr>
        <w:t>40</w:t>
      </w:r>
      <w:r>
        <w:rPr>
          <w:rFonts w:ascii="仿宋_GB2312" w:eastAsia="仿宋_GB2312" w:hAnsi="宋体" w:hint="eastAsia"/>
          <w:sz w:val="32"/>
          <w:szCs w:val="32"/>
        </w:rPr>
        <w:t>万元。</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（八）支持标准化建设工作。经认定，对承担国际标准化组织的技术委员会（</w:t>
      </w:r>
      <w:r>
        <w:rPr>
          <w:rFonts w:ascii="仿宋_GB2312" w:eastAsia="仿宋_GB2312" w:hAnsi="宋体" w:hint="eastAsia"/>
          <w:color w:val="000000"/>
          <w:sz w:val="32"/>
          <w:szCs w:val="32"/>
        </w:rPr>
        <w:t>TC</w:t>
      </w:r>
      <w:r>
        <w:rPr>
          <w:rFonts w:ascii="仿宋_GB2312" w:eastAsia="仿宋_GB2312" w:hAnsi="宋体" w:hint="eastAsia"/>
          <w:color w:val="000000"/>
          <w:sz w:val="32"/>
          <w:szCs w:val="32"/>
        </w:rPr>
        <w:t>）、分技术委员会（</w:t>
      </w:r>
      <w:r>
        <w:rPr>
          <w:rFonts w:ascii="仿宋_GB2312" w:eastAsia="仿宋_GB2312" w:hAnsi="宋体" w:hint="eastAsia"/>
          <w:color w:val="000000"/>
          <w:sz w:val="32"/>
          <w:szCs w:val="32"/>
        </w:rPr>
        <w:t>SC</w:t>
      </w:r>
      <w:r>
        <w:rPr>
          <w:rFonts w:ascii="仿宋_GB2312" w:eastAsia="仿宋_GB2312" w:hAnsi="宋体" w:hint="eastAsia"/>
          <w:color w:val="000000"/>
          <w:sz w:val="32"/>
          <w:szCs w:val="32"/>
        </w:rPr>
        <w:t>）和工作组（</w:t>
      </w:r>
      <w:r>
        <w:rPr>
          <w:rFonts w:ascii="仿宋_GB2312" w:eastAsia="仿宋_GB2312" w:hAnsi="宋体" w:hint="eastAsia"/>
          <w:color w:val="000000"/>
          <w:sz w:val="32"/>
          <w:szCs w:val="32"/>
        </w:rPr>
        <w:t>WG</w:t>
      </w:r>
      <w:r>
        <w:rPr>
          <w:rFonts w:ascii="仿宋_GB2312" w:eastAsia="仿宋_GB2312" w:hAnsi="宋体" w:hint="eastAsia"/>
          <w:color w:val="000000"/>
          <w:sz w:val="32"/>
          <w:szCs w:val="32"/>
        </w:rPr>
        <w:t>）秘书处单位分别给予最高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30</w:t>
      </w:r>
      <w:r>
        <w:rPr>
          <w:rFonts w:ascii="仿宋_GB2312" w:eastAsia="仿宋_GB2312" w:hAnsi="宋体" w:hint="eastAsia"/>
          <w:color w:val="000000"/>
          <w:sz w:val="32"/>
          <w:szCs w:val="32"/>
        </w:rPr>
        <w:t>万元和</w:t>
      </w:r>
      <w:r>
        <w:rPr>
          <w:rFonts w:ascii="仿宋_GB2312" w:eastAsia="仿宋_GB2312" w:hAnsi="宋体" w:hint="eastAsia"/>
          <w:color w:val="000000"/>
          <w:sz w:val="32"/>
          <w:szCs w:val="32"/>
        </w:rPr>
        <w:t>15</w:t>
      </w:r>
      <w:r>
        <w:rPr>
          <w:rFonts w:ascii="仿宋_GB2312" w:eastAsia="仿宋_GB2312" w:hAnsi="宋体" w:hint="eastAsia"/>
          <w:color w:val="000000"/>
          <w:sz w:val="32"/>
          <w:szCs w:val="32"/>
        </w:rPr>
        <w:t>万元一次性奖励；对承担国家标准化组织的</w:t>
      </w:r>
      <w:r>
        <w:rPr>
          <w:rFonts w:ascii="仿宋_GB2312" w:eastAsia="仿宋_GB2312" w:hAnsi="宋体" w:hint="eastAsia"/>
          <w:color w:val="000000"/>
          <w:sz w:val="32"/>
          <w:szCs w:val="32"/>
        </w:rPr>
        <w:t>TC</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SC</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WG</w:t>
      </w:r>
      <w:r>
        <w:rPr>
          <w:rFonts w:ascii="仿宋_GB2312" w:eastAsia="仿宋_GB2312" w:hAnsi="宋体" w:hint="eastAsia"/>
          <w:color w:val="000000"/>
          <w:sz w:val="32"/>
          <w:szCs w:val="32"/>
        </w:rPr>
        <w:t>秘书处单位分别给予最高</w:t>
      </w:r>
      <w:r>
        <w:rPr>
          <w:rFonts w:ascii="仿宋_GB2312" w:eastAsia="仿宋_GB2312" w:hAnsi="宋体" w:hint="eastAsia"/>
          <w:color w:val="000000"/>
          <w:sz w:val="32"/>
          <w:szCs w:val="32"/>
        </w:rPr>
        <w:t>30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20</w:t>
      </w:r>
      <w:r>
        <w:rPr>
          <w:rFonts w:ascii="仿宋_GB2312" w:eastAsia="仿宋_GB2312" w:hAnsi="宋体" w:hint="eastAsia"/>
          <w:color w:val="000000"/>
          <w:sz w:val="32"/>
          <w:szCs w:val="32"/>
        </w:rPr>
        <w:t>万元和</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万元一次性奖励；对承担行业或地方标准化组织的</w:t>
      </w:r>
      <w:r>
        <w:rPr>
          <w:rFonts w:ascii="仿宋_GB2312" w:eastAsia="仿宋_GB2312" w:hAnsi="宋体" w:hint="eastAsia"/>
          <w:color w:val="000000"/>
          <w:sz w:val="32"/>
          <w:szCs w:val="32"/>
        </w:rPr>
        <w:t>TC</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SC</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WG</w:t>
      </w:r>
      <w:r>
        <w:rPr>
          <w:rFonts w:ascii="仿宋_GB2312" w:eastAsia="仿宋_GB2312" w:hAnsi="宋体" w:hint="eastAsia"/>
          <w:color w:val="000000"/>
          <w:sz w:val="32"/>
          <w:szCs w:val="32"/>
        </w:rPr>
        <w:t>秘书处单位分别</w:t>
      </w:r>
      <w:r>
        <w:rPr>
          <w:rFonts w:ascii="仿宋_GB2312" w:eastAsia="仿宋_GB2312" w:hAnsi="宋体" w:hint="eastAsia"/>
          <w:color w:val="000000"/>
          <w:sz w:val="32"/>
          <w:szCs w:val="32"/>
        </w:rPr>
        <w:t>给予最高</w:t>
      </w:r>
      <w:r>
        <w:rPr>
          <w:rFonts w:ascii="仿宋_GB2312" w:eastAsia="仿宋_GB2312" w:hAnsi="宋体" w:hint="eastAsia"/>
          <w:color w:val="000000"/>
          <w:sz w:val="32"/>
          <w:szCs w:val="32"/>
        </w:rPr>
        <w:t>15</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万元和</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万元一次性奖励。对参与国际标准、国家标准、行业标准、地方标准、区级标准、团体标准制定的第一起草者分别给予最高</w:t>
      </w:r>
      <w:r>
        <w:rPr>
          <w:rFonts w:ascii="仿宋_GB2312" w:eastAsia="仿宋_GB2312" w:hAnsi="宋体" w:hint="eastAsia"/>
          <w:color w:val="000000"/>
          <w:sz w:val="32"/>
          <w:szCs w:val="32"/>
        </w:rPr>
        <w:t>20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万元和</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万元一次性奖励，</w:t>
      </w:r>
      <w:r>
        <w:rPr>
          <w:rFonts w:ascii="仿宋_GB2312" w:eastAsia="仿宋_GB2312" w:hAnsi="宋体" w:hint="eastAsia"/>
          <w:color w:val="000000"/>
          <w:spacing w:val="-6"/>
          <w:sz w:val="32"/>
          <w:szCs w:val="32"/>
        </w:rPr>
        <w:t>非第一起草者分别给予最高</w:t>
      </w:r>
      <w:r>
        <w:rPr>
          <w:rFonts w:ascii="仿宋_GB2312" w:eastAsia="仿宋_GB2312" w:hAnsi="宋体" w:hint="eastAsia"/>
          <w:color w:val="000000"/>
          <w:spacing w:val="-6"/>
          <w:sz w:val="32"/>
          <w:szCs w:val="32"/>
        </w:rPr>
        <w:t>5</w:t>
      </w:r>
      <w:r>
        <w:rPr>
          <w:rFonts w:ascii="仿宋_GB2312" w:eastAsia="仿宋_GB2312" w:hAnsi="宋体" w:hint="eastAsia"/>
          <w:color w:val="000000"/>
          <w:spacing w:val="-6"/>
          <w:sz w:val="32"/>
          <w:szCs w:val="32"/>
        </w:rPr>
        <w:t>万元、</w:t>
      </w:r>
      <w:r>
        <w:rPr>
          <w:rFonts w:ascii="仿宋_GB2312" w:eastAsia="仿宋_GB2312" w:hAnsi="宋体" w:hint="eastAsia"/>
          <w:color w:val="000000"/>
          <w:spacing w:val="-6"/>
          <w:sz w:val="32"/>
          <w:szCs w:val="32"/>
        </w:rPr>
        <w:t>2</w:t>
      </w:r>
      <w:r>
        <w:rPr>
          <w:rFonts w:ascii="仿宋_GB2312" w:eastAsia="仿宋_GB2312" w:hAnsi="宋体" w:hint="eastAsia"/>
          <w:color w:val="000000"/>
          <w:spacing w:val="-6"/>
          <w:sz w:val="32"/>
          <w:szCs w:val="32"/>
        </w:rPr>
        <w:t>万元、</w:t>
      </w:r>
      <w:r>
        <w:rPr>
          <w:rFonts w:ascii="仿宋_GB2312" w:eastAsia="仿宋_GB2312" w:hAnsi="宋体" w:hint="eastAsia"/>
          <w:color w:val="000000"/>
          <w:spacing w:val="-6"/>
          <w:sz w:val="32"/>
          <w:szCs w:val="32"/>
        </w:rPr>
        <w:t>1</w:t>
      </w:r>
      <w:r>
        <w:rPr>
          <w:rFonts w:ascii="仿宋_GB2312" w:eastAsia="仿宋_GB2312" w:hAnsi="宋体" w:hint="eastAsia"/>
          <w:color w:val="000000"/>
          <w:spacing w:val="-6"/>
          <w:sz w:val="32"/>
          <w:szCs w:val="32"/>
        </w:rPr>
        <w:t>万元、</w:t>
      </w:r>
      <w:r>
        <w:rPr>
          <w:rFonts w:ascii="仿宋_GB2312" w:eastAsia="仿宋_GB2312" w:hAnsi="宋体" w:hint="eastAsia"/>
          <w:color w:val="000000"/>
          <w:spacing w:val="-6"/>
          <w:sz w:val="32"/>
          <w:szCs w:val="32"/>
        </w:rPr>
        <w:t>1</w:t>
      </w:r>
      <w:r>
        <w:rPr>
          <w:rFonts w:ascii="仿宋_GB2312" w:eastAsia="仿宋_GB2312" w:hAnsi="宋体" w:hint="eastAsia"/>
          <w:color w:val="000000"/>
          <w:spacing w:val="-6"/>
          <w:sz w:val="32"/>
          <w:szCs w:val="32"/>
        </w:rPr>
        <w:t>万元、</w:t>
      </w:r>
      <w:r>
        <w:rPr>
          <w:rFonts w:ascii="仿宋_GB2312" w:eastAsia="仿宋_GB2312" w:hAnsi="宋体" w:hint="eastAsia"/>
          <w:color w:val="000000"/>
          <w:spacing w:val="-6"/>
          <w:sz w:val="32"/>
          <w:szCs w:val="32"/>
        </w:rPr>
        <w:t>1</w:t>
      </w:r>
      <w:r>
        <w:rPr>
          <w:rFonts w:ascii="仿宋_GB2312" w:eastAsia="仿宋_GB2312" w:hAnsi="宋体" w:hint="eastAsia"/>
          <w:color w:val="000000"/>
          <w:sz w:val="32"/>
          <w:szCs w:val="32"/>
        </w:rPr>
        <w:t>万元和</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万元一次性奖励；对参与上述标准修订的，分别按奖励标准的</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执行。承担国家级和市级标准化示范试点项目的单位，分别给予最高</w:t>
      </w:r>
      <w:r>
        <w:rPr>
          <w:rFonts w:ascii="仿宋_GB2312" w:eastAsia="仿宋_GB2312" w:hAnsi="宋体" w:hint="eastAsia"/>
          <w:color w:val="000000"/>
          <w:sz w:val="32"/>
          <w:szCs w:val="32"/>
        </w:rPr>
        <w:t>20</w:t>
      </w:r>
      <w:r>
        <w:rPr>
          <w:rFonts w:ascii="仿宋_GB2312" w:eastAsia="仿宋_GB2312" w:hAnsi="宋体" w:hint="eastAsia"/>
          <w:color w:val="000000"/>
          <w:sz w:val="32"/>
          <w:szCs w:val="32"/>
        </w:rPr>
        <w:t>万元和</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万元一次性奖励。对参与标准制定、修订，承担标准化示范试点项目的单位，当年度一次性奖励最高</w:t>
      </w:r>
      <w:r>
        <w:rPr>
          <w:rFonts w:ascii="仿宋_GB2312" w:eastAsia="仿宋_GB2312" w:hAnsi="宋体" w:hint="eastAsia"/>
          <w:color w:val="000000"/>
          <w:sz w:val="32"/>
          <w:szCs w:val="32"/>
        </w:rPr>
        <w:t>20</w:t>
      </w:r>
      <w:r>
        <w:rPr>
          <w:rFonts w:ascii="仿宋_GB2312" w:eastAsia="仿宋_GB2312" w:hAnsi="宋体" w:hint="eastAsia"/>
          <w:color w:val="000000"/>
          <w:sz w:val="32"/>
          <w:szCs w:val="32"/>
        </w:rPr>
        <w:t>万元。对于获得“上海</w:t>
      </w:r>
      <w:r>
        <w:rPr>
          <w:rFonts w:ascii="仿宋_GB2312" w:eastAsia="仿宋_GB2312" w:hAnsi="宋体" w:hint="eastAsia"/>
          <w:color w:val="000000"/>
          <w:sz w:val="32"/>
          <w:szCs w:val="32"/>
        </w:rPr>
        <w:t>标准”评价认定单位给予最高</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万元一次性奖励。同一单位当年度各项标准化奖励总额最高</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万元，国际标准化组织技术委员会承担单位当年度各项标准化奖励总额最高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（九）对首次获得“中国质量奖”及提名奖的企业、高等</w:t>
      </w:r>
      <w:r>
        <w:rPr>
          <w:rFonts w:ascii="仿宋_GB2312" w:eastAsia="仿宋_GB2312" w:hAnsi="宋体" w:hint="eastAsia"/>
          <w:color w:val="000000"/>
          <w:spacing w:val="-10"/>
          <w:sz w:val="32"/>
          <w:szCs w:val="32"/>
        </w:rPr>
        <w:t>院校、科研院所、医疗机构等，经认定，分别给予一次性最高</w:t>
      </w:r>
      <w:r>
        <w:rPr>
          <w:rFonts w:ascii="仿宋_GB2312" w:eastAsia="仿宋_GB2312" w:hAnsi="宋体" w:hint="eastAsia"/>
          <w:color w:val="000000"/>
          <w:spacing w:val="-10"/>
          <w:sz w:val="32"/>
          <w:szCs w:val="32"/>
        </w:rPr>
        <w:t>100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奖励。对首次获得“上海市市长质量奖”“上海市质量金奖”“上海品牌”“全国知名品牌创建示范区”“上海市知名品牌创建示范区”的企业、高等院校、科研院所、医疗机构等，经认定，分别给予一次性最高</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30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20</w:t>
      </w:r>
      <w:r>
        <w:rPr>
          <w:rFonts w:ascii="仿宋_GB2312" w:eastAsia="仿宋_GB2312" w:hAnsi="宋体" w:hint="eastAsia"/>
          <w:color w:val="000000"/>
          <w:sz w:val="32"/>
          <w:szCs w:val="32"/>
        </w:rPr>
        <w:t>万元、</w:t>
      </w:r>
      <w:r>
        <w:rPr>
          <w:rFonts w:ascii="仿宋_GB2312" w:eastAsia="仿宋_GB2312" w:hAnsi="宋体" w:hint="eastAsia"/>
          <w:color w:val="000000"/>
          <w:spacing w:val="-12"/>
          <w:sz w:val="32"/>
          <w:szCs w:val="32"/>
        </w:rPr>
        <w:t>10</w:t>
      </w:r>
      <w:r>
        <w:rPr>
          <w:rFonts w:ascii="仿宋_GB2312" w:eastAsia="仿宋_GB2312" w:hAnsi="宋体" w:hint="eastAsia"/>
          <w:color w:val="000000"/>
          <w:spacing w:val="-12"/>
          <w:sz w:val="32"/>
          <w:szCs w:val="32"/>
        </w:rPr>
        <w:t>万元、</w:t>
      </w:r>
      <w:r>
        <w:rPr>
          <w:rFonts w:ascii="仿宋_GB2312" w:eastAsia="仿宋_GB2312" w:hAnsi="宋体" w:hint="eastAsia"/>
          <w:color w:val="000000"/>
          <w:spacing w:val="-12"/>
          <w:sz w:val="32"/>
          <w:szCs w:val="32"/>
        </w:rPr>
        <w:t>5</w:t>
      </w:r>
      <w:r>
        <w:rPr>
          <w:rFonts w:ascii="仿宋_GB2312" w:eastAsia="仿宋_GB2312" w:hAnsi="宋体" w:hint="eastAsia"/>
          <w:color w:val="000000"/>
          <w:spacing w:val="-12"/>
          <w:sz w:val="32"/>
          <w:szCs w:val="32"/>
        </w:rPr>
        <w:t>万元的奖励。对获得“上海市重点产品质量攻关成</w:t>
      </w:r>
      <w:r>
        <w:rPr>
          <w:rFonts w:ascii="仿宋_GB2312" w:eastAsia="仿宋_GB2312" w:hAnsi="宋体" w:hint="eastAsia"/>
          <w:color w:val="000000"/>
          <w:spacing w:val="-10"/>
          <w:sz w:val="32"/>
          <w:szCs w:val="32"/>
        </w:rPr>
        <w:t>果奖”</w:t>
      </w:r>
      <w:r>
        <w:rPr>
          <w:rFonts w:ascii="仿宋_GB2312" w:eastAsia="仿宋_GB2312" w:hAnsi="宋体" w:hint="eastAsia"/>
          <w:color w:val="000000"/>
          <w:sz w:val="32"/>
          <w:szCs w:val="32"/>
        </w:rPr>
        <w:t>一、二、三等奖项的单位，分为给予一次性最高</w:t>
      </w:r>
      <w:r>
        <w:rPr>
          <w:rFonts w:ascii="仿宋_GB2312" w:eastAsia="仿宋_GB2312" w:hAnsi="宋体" w:hint="eastAsia"/>
          <w:color w:val="000000"/>
          <w:sz w:val="32"/>
          <w:szCs w:val="32"/>
        </w:rPr>
        <w:t>10</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万元的一次性支持。</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（十）支持产业园区、企业、高等院校、科研院所、医疗机构等创新主体建设知识产权运营中心。对承担项目建设的主体，经认定，给予一次性奖励最高</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万元。如注册为独立核算主体的再给予一次性奖励最高</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（十一）支持企业、高等院校、科研院所科技成果转化。对企业、高等院校、科研院所开展专利转让、许可且合同额超过</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万元以上的，通过经省级或省级以上人民政府批准设立的知识产权交</w:t>
      </w:r>
      <w:r>
        <w:rPr>
          <w:rFonts w:ascii="仿宋_GB2312" w:eastAsia="仿宋_GB2312" w:hAnsi="宋体" w:hint="eastAsia"/>
          <w:color w:val="000000"/>
          <w:sz w:val="32"/>
          <w:szCs w:val="32"/>
        </w:rPr>
        <w:t>易机构</w:t>
      </w:r>
      <w:proofErr w:type="gramStart"/>
      <w:r>
        <w:rPr>
          <w:rFonts w:ascii="仿宋_GB2312" w:eastAsia="仿宋_GB2312" w:hAnsi="宋体" w:hint="eastAsia"/>
          <w:color w:val="000000"/>
          <w:sz w:val="32"/>
          <w:szCs w:val="32"/>
        </w:rPr>
        <w:t>鉴证</w:t>
      </w:r>
      <w:proofErr w:type="gramEnd"/>
      <w:r>
        <w:rPr>
          <w:rFonts w:ascii="仿宋_GB2312" w:eastAsia="仿宋_GB2312" w:hAnsi="宋体" w:hint="eastAsia"/>
          <w:color w:val="000000"/>
          <w:sz w:val="32"/>
          <w:szCs w:val="32"/>
        </w:rPr>
        <w:t>，经认定，可按实际支付额给予高等院校、科研院所</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且最高</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万元的奖励，同一单位当年度奖励额度最高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（十二）鼓励知识产权交易服务。对促成专利转化、交易、许可实施且合同年累计交易额完成</w:t>
      </w:r>
      <w:r>
        <w:rPr>
          <w:rFonts w:ascii="仿宋_GB2312" w:eastAsia="仿宋_GB2312" w:hAnsi="宋体" w:hint="eastAsia"/>
          <w:color w:val="000000"/>
          <w:sz w:val="32"/>
          <w:szCs w:val="32"/>
        </w:rPr>
        <w:t xml:space="preserve"> 500 </w:t>
      </w:r>
      <w:r>
        <w:rPr>
          <w:rFonts w:ascii="仿宋_GB2312" w:eastAsia="仿宋_GB2312" w:hAnsi="宋体" w:hint="eastAsia"/>
          <w:color w:val="000000"/>
          <w:sz w:val="32"/>
          <w:szCs w:val="32"/>
        </w:rPr>
        <w:t>万元以上的中介服务机构，经认定，按交易额的</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给予中介服务机构奖励，奖励总额不超过中介服务机构服务所得，且最高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Calibri"/>
          <w:sz w:val="32"/>
          <w:szCs w:val="32"/>
        </w:rPr>
      </w:pPr>
      <w:r>
        <w:rPr>
          <w:rFonts w:ascii="仿宋_GB2312" w:eastAsia="仿宋_GB2312" w:hAnsi="宋体" w:hint="eastAsia"/>
          <w:color w:val="000000"/>
          <w:sz w:val="32"/>
          <w:szCs w:val="32"/>
        </w:rPr>
        <w:t>（十三）实施知识产权管理规范贯标认证资助。对于通过知识产权管理规范认证的企业和高等院校、科研院所，经认定，每家给予一次性最高</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万元的认证费用奖励，但不得高于实际发生的认证费用</w:t>
      </w:r>
      <w:r>
        <w:rPr>
          <w:rFonts w:ascii="仿宋_GB2312" w:eastAsia="仿宋_GB2312" w:hAnsi="宋体" w:hint="eastAsia"/>
          <w:color w:val="000000"/>
          <w:sz w:val="32"/>
          <w:szCs w:val="32"/>
        </w:rPr>
        <w:t>，也不得高于首个认证周期实际的认证费用总额。</w:t>
      </w:r>
    </w:p>
    <w:p w:rsidR="009D64F6" w:rsidRDefault="004F1048">
      <w:pPr>
        <w:widowControl/>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（十四）支持知识产权服务机构为区域内中小</w:t>
      </w:r>
      <w:proofErr w:type="gramStart"/>
      <w:r>
        <w:rPr>
          <w:rFonts w:ascii="仿宋_GB2312" w:eastAsia="仿宋_GB2312" w:hAnsi="宋体" w:hint="eastAsia"/>
          <w:color w:val="000000"/>
          <w:sz w:val="32"/>
          <w:szCs w:val="32"/>
        </w:rPr>
        <w:t>微企业</w:t>
      </w:r>
      <w:proofErr w:type="gramEnd"/>
      <w:r>
        <w:rPr>
          <w:rFonts w:ascii="仿宋_GB2312" w:eastAsia="仿宋_GB2312" w:hAnsi="宋体" w:hint="eastAsia"/>
          <w:color w:val="000000"/>
          <w:sz w:val="32"/>
          <w:szCs w:val="32"/>
        </w:rPr>
        <w:t>提供知识产权托管服务。对托管达到</w:t>
      </w:r>
      <w:r>
        <w:rPr>
          <w:rFonts w:ascii="仿宋_GB2312" w:eastAsia="仿宋_GB2312" w:hAnsi="宋体" w:hint="eastAsia"/>
          <w:color w:val="000000"/>
          <w:sz w:val="32"/>
          <w:szCs w:val="32"/>
        </w:rPr>
        <w:t>30</w:t>
      </w:r>
      <w:r>
        <w:rPr>
          <w:rFonts w:ascii="仿宋_GB2312" w:eastAsia="仿宋_GB2312" w:hAnsi="宋体" w:hint="eastAsia"/>
          <w:color w:val="000000"/>
          <w:sz w:val="32"/>
          <w:szCs w:val="32"/>
        </w:rPr>
        <w:t>家及以上的机构给予奖励，根据托管绩效，经认定，按照每托管一家企业给予一次性奖励最高</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万元的标准，每家机构每年奖励最高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万元。对批量服务托管达到</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家以上的园区、企业给予最高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万元的一次性奖励。</w:t>
      </w:r>
    </w:p>
    <w:p w:rsidR="009D64F6" w:rsidRDefault="004F1048">
      <w:pPr>
        <w:widowControl/>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（十五）支持知识产权质押融资，完善知识产权质押融资风险补偿机制。对申请人通过质押知识产权（专利、商标）获得商业银行贷款的，经认定，按实际支出贷款利息的</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予以财政补助。同一申请人当年度申请以上贴息贴补总额最高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万元。以组合贷款方式进行融资的，只计算知识产权质押融资贷款部分，组合贷款中无法计算知识产权质押融资金额的，不予资助。</w:t>
      </w:r>
    </w:p>
    <w:p w:rsidR="009D64F6" w:rsidRDefault="004F1048">
      <w:pPr>
        <w:widowControl/>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（十六）支持专利、商标保险，鼓励金融机构积极开发专利技术交易保险、海外维</w:t>
      </w:r>
      <w:proofErr w:type="gramStart"/>
      <w:r>
        <w:rPr>
          <w:rFonts w:ascii="仿宋_GB2312" w:eastAsia="仿宋_GB2312" w:hAnsi="宋体" w:hint="eastAsia"/>
          <w:color w:val="000000"/>
          <w:sz w:val="32"/>
          <w:szCs w:val="32"/>
        </w:rPr>
        <w:t>权保险</w:t>
      </w:r>
      <w:proofErr w:type="gramEnd"/>
      <w:r>
        <w:rPr>
          <w:rFonts w:ascii="仿宋_GB2312" w:eastAsia="仿宋_GB2312" w:hAnsi="宋体" w:hint="eastAsia"/>
          <w:color w:val="000000"/>
          <w:sz w:val="32"/>
          <w:szCs w:val="32"/>
        </w:rPr>
        <w:t>等新产品。企业向保险公司投保专利、商标保险的，经认定，给予实际支付保费金额</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的财政补助，</w:t>
      </w:r>
      <w:r>
        <w:rPr>
          <w:rFonts w:ascii="仿宋_GB2312" w:eastAsia="仿宋_GB2312" w:hAnsi="宋体" w:hint="eastAsia"/>
          <w:color w:val="000000"/>
          <w:spacing w:val="-6"/>
          <w:sz w:val="32"/>
          <w:szCs w:val="32"/>
        </w:rPr>
        <w:t>同一家企</w:t>
      </w:r>
      <w:r>
        <w:rPr>
          <w:rFonts w:ascii="仿宋_GB2312" w:eastAsia="仿宋_GB2312" w:hAnsi="宋体" w:hint="eastAsia"/>
          <w:color w:val="000000"/>
          <w:spacing w:val="-6"/>
          <w:sz w:val="32"/>
          <w:szCs w:val="32"/>
        </w:rPr>
        <w:t>业当年度专利、商标保险保费补助总额最高</w:t>
      </w:r>
      <w:r>
        <w:rPr>
          <w:rFonts w:ascii="仿宋_GB2312" w:eastAsia="仿宋_GB2312" w:hAnsi="宋体" w:hint="eastAsia"/>
          <w:color w:val="000000"/>
          <w:spacing w:val="-6"/>
          <w:sz w:val="32"/>
          <w:szCs w:val="32"/>
        </w:rPr>
        <w:t>20</w:t>
      </w:r>
      <w:r>
        <w:rPr>
          <w:rFonts w:ascii="仿宋_GB2312" w:eastAsia="仿宋_GB2312" w:hAnsi="宋体" w:hint="eastAsia"/>
          <w:color w:val="000000"/>
          <w:spacing w:val="-6"/>
          <w:sz w:val="32"/>
          <w:szCs w:val="32"/>
        </w:rPr>
        <w:t>万元。</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（十七）支持企业与金融机构合作，探索开展知识产权证券化。对以知识产权为基础资产公开发行资产证券化产品的</w:t>
      </w:r>
      <w:r>
        <w:rPr>
          <w:rFonts w:ascii="仿宋_GB2312" w:eastAsia="仿宋_GB2312" w:hAnsi="宋体" w:hint="eastAsia"/>
          <w:sz w:val="32"/>
          <w:szCs w:val="32"/>
        </w:rPr>
        <w:t>发起单位，经认定，给</w:t>
      </w:r>
      <w:r>
        <w:rPr>
          <w:rFonts w:ascii="仿宋_GB2312" w:eastAsia="仿宋_GB2312" w:hAnsi="宋体" w:hint="eastAsia"/>
          <w:color w:val="000000"/>
          <w:sz w:val="32"/>
          <w:szCs w:val="32"/>
        </w:rPr>
        <w:t>予一次性奖励，奖励金额为发行规模的</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，最高</w:t>
      </w:r>
      <w:r>
        <w:rPr>
          <w:rFonts w:ascii="仿宋_GB2312" w:eastAsia="仿宋_GB2312" w:hAnsi="宋体" w:hint="eastAsia"/>
          <w:color w:val="000000"/>
          <w:sz w:val="32"/>
          <w:szCs w:val="32"/>
        </w:rPr>
        <w:t>300</w:t>
      </w:r>
      <w:r>
        <w:rPr>
          <w:rFonts w:ascii="仿宋_GB2312" w:eastAsia="仿宋_GB2312" w:hAnsi="宋体"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八）支持徐汇区文创企业提升知识产权保护和运营意识，加强版权登记、运营、交易和衍生开发项目投入，综合考虑项目建设内容、核心竞争力、行业影响力、经济效益等，经认定，可给予单个项目不超过投资额</w:t>
      </w:r>
      <w:r>
        <w:rPr>
          <w:rFonts w:ascii="仿宋_GB2312" w:eastAsia="仿宋_GB2312" w:hAnsi="宋体" w:hint="eastAsia"/>
          <w:color w:val="000000"/>
          <w:sz w:val="32"/>
          <w:szCs w:val="32"/>
        </w:rPr>
        <w:t>30%</w:t>
      </w:r>
      <w:r>
        <w:rPr>
          <w:rFonts w:ascii="仿宋_GB2312" w:eastAsia="仿宋_GB2312" w:hAnsi="宋体" w:hint="eastAsia"/>
          <w:color w:val="000000"/>
          <w:sz w:val="32"/>
          <w:szCs w:val="32"/>
        </w:rPr>
        <w:t>，最高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万元的资助。</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（十九）支持专业机构和企业在徐汇区开展版权保护、版权交易、版</w:t>
      </w:r>
      <w:r>
        <w:rPr>
          <w:rFonts w:ascii="仿宋_GB2312" w:eastAsia="仿宋_GB2312" w:hAnsi="宋体" w:hint="eastAsia"/>
          <w:color w:val="000000"/>
          <w:sz w:val="32"/>
          <w:szCs w:val="32"/>
        </w:rPr>
        <w:t>权运营等版权服务平台建设，综合考虑平台和项目的服务效能、社会和经济效益等，经认定，可给予每年最高</w:t>
      </w:r>
      <w:r>
        <w:rPr>
          <w:rFonts w:ascii="仿宋_GB2312" w:eastAsia="仿宋_GB2312" w:hAnsi="宋体" w:hint="eastAsia"/>
          <w:color w:val="000000"/>
          <w:sz w:val="32"/>
          <w:szCs w:val="32"/>
        </w:rPr>
        <w:t>100</w:t>
      </w:r>
      <w:r>
        <w:rPr>
          <w:rFonts w:ascii="仿宋_GB2312" w:eastAsia="仿宋_GB2312" w:hAnsi="宋体" w:hint="eastAsia"/>
          <w:color w:val="000000"/>
          <w:sz w:val="32"/>
          <w:szCs w:val="32"/>
        </w:rPr>
        <w:t>万元的资助。</w:t>
      </w:r>
    </w:p>
    <w:p w:rsidR="009D64F6" w:rsidRDefault="004F1048">
      <w:pPr>
        <w:widowControl/>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（二十）</w:t>
      </w:r>
      <w:r>
        <w:rPr>
          <w:rFonts w:ascii="黑体" w:eastAsia="黑体" w:hAnsi="黑体" w:hint="eastAsia"/>
          <w:sz w:val="32"/>
          <w:szCs w:val="32"/>
        </w:rPr>
        <w:t xml:space="preserve"> </w:t>
      </w:r>
      <w:r>
        <w:rPr>
          <w:rFonts w:ascii="仿宋_GB2312" w:eastAsia="仿宋_GB2312" w:hAnsi="宋体" w:hint="eastAsia"/>
          <w:color w:val="000000"/>
          <w:sz w:val="32"/>
          <w:szCs w:val="32"/>
        </w:rPr>
        <w:t>加强知识产权人才培养。对获得知识产权代理师资格证书、执业资格证书满两年的专利代理师</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人及以上的区高等院校、科研院所、医疗机构等，经认定，</w:t>
      </w:r>
      <w:proofErr w:type="gramStart"/>
      <w:r>
        <w:rPr>
          <w:rFonts w:ascii="仿宋_GB2312" w:eastAsia="仿宋_GB2312" w:hAnsi="宋体" w:hint="eastAsia"/>
          <w:color w:val="000000"/>
          <w:sz w:val="32"/>
          <w:szCs w:val="32"/>
        </w:rPr>
        <w:t>按专利代理师最高</w:t>
      </w:r>
      <w:proofErr w:type="gramEnd"/>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人进行一次性奖励，每家单位奖励最高</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万元。</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（二十一）支持长三角知识产权一体化融合发展，以长三角重点城市联盟为依托，</w:t>
      </w:r>
      <w:proofErr w:type="gramStart"/>
      <w:r>
        <w:rPr>
          <w:rFonts w:ascii="仿宋_GB2312" w:eastAsia="仿宋_GB2312" w:hAnsi="宋体" w:hint="eastAsia"/>
          <w:color w:val="000000"/>
          <w:sz w:val="32"/>
          <w:szCs w:val="32"/>
        </w:rPr>
        <w:t>联合长</w:t>
      </w:r>
      <w:proofErr w:type="gramEnd"/>
      <w:r>
        <w:rPr>
          <w:rFonts w:ascii="仿宋_GB2312" w:eastAsia="仿宋_GB2312" w:hAnsi="宋体" w:hint="eastAsia"/>
          <w:color w:val="000000"/>
          <w:sz w:val="32"/>
          <w:szCs w:val="32"/>
        </w:rPr>
        <w:t>三角各重点城市开展知识产权运营、服务、创造、保护全方位合作，积极推动长三角地区知识产权协同发展。对参加</w:t>
      </w:r>
      <w:r>
        <w:rPr>
          <w:rFonts w:ascii="仿宋_GB2312" w:eastAsia="仿宋_GB2312" w:hAnsi="宋体" w:hint="eastAsia"/>
          <w:color w:val="000000"/>
          <w:sz w:val="32"/>
          <w:szCs w:val="32"/>
        </w:rPr>
        <w:t>中国国际进口博览会等国家级展会的“专精特新”等企业和服务机构给予展位费</w:t>
      </w:r>
      <w:r>
        <w:rPr>
          <w:rFonts w:ascii="仿宋_GB2312" w:eastAsia="仿宋_GB2312" w:hAnsi="宋体" w:hint="eastAsia"/>
          <w:color w:val="000000"/>
          <w:sz w:val="32"/>
          <w:szCs w:val="32"/>
        </w:rPr>
        <w:t>50%</w:t>
      </w:r>
      <w:r>
        <w:rPr>
          <w:rFonts w:ascii="仿宋_GB2312" w:eastAsia="仿宋_GB2312" w:hAnsi="宋体" w:hint="eastAsia"/>
          <w:color w:val="000000"/>
          <w:sz w:val="32"/>
          <w:szCs w:val="32"/>
        </w:rPr>
        <w:t>的财政补助，经认定，每家单位每年最高</w:t>
      </w:r>
      <w:r>
        <w:rPr>
          <w:rFonts w:ascii="仿宋_GB2312" w:eastAsia="仿宋_GB2312" w:hAnsi="宋体" w:hint="eastAsia"/>
          <w:color w:val="000000"/>
          <w:sz w:val="32"/>
          <w:szCs w:val="32"/>
        </w:rPr>
        <w:t>20</w:t>
      </w:r>
      <w:r>
        <w:rPr>
          <w:rFonts w:ascii="仿宋_GB2312" w:eastAsia="仿宋_GB2312" w:hAnsi="宋体" w:hint="eastAsia"/>
          <w:color w:val="000000"/>
          <w:sz w:val="32"/>
          <w:szCs w:val="32"/>
        </w:rPr>
        <w:t>万元。</w:t>
      </w:r>
    </w:p>
    <w:p w:rsidR="009D64F6" w:rsidRDefault="004F1048">
      <w:pPr>
        <w:adjustRightInd w:val="0"/>
        <w:snapToGrid w:val="0"/>
        <w:spacing w:line="360" w:lineRule="auto"/>
        <w:ind w:firstLineChars="200" w:firstLine="640"/>
        <w:rPr>
          <w:rFonts w:ascii="黑体" w:eastAsia="黑体" w:hAnsi="宋体"/>
          <w:color w:val="000000"/>
          <w:sz w:val="32"/>
          <w:szCs w:val="32"/>
        </w:rPr>
      </w:pPr>
      <w:r>
        <w:rPr>
          <w:rFonts w:ascii="黑体" w:eastAsia="黑体" w:hAnsi="宋体" w:hint="eastAsia"/>
          <w:color w:val="000000"/>
          <w:sz w:val="32"/>
          <w:szCs w:val="32"/>
        </w:rPr>
        <w:t>三、附则</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w:t>
      </w:r>
      <w:r>
        <w:rPr>
          <w:rFonts w:ascii="仿宋_GB2312" w:eastAsia="仿宋_GB2312" w:hAnsi="仿宋" w:cs="仿宋" w:hint="eastAsia"/>
          <w:color w:val="000000"/>
          <w:sz w:val="32"/>
          <w:szCs w:val="32"/>
          <w:lang w:val="zh-CN"/>
        </w:rPr>
        <w:t>对弄虚作假骗取扶持资金、擅自改变资金用途等行为，将追究扶持对象的责任，并收回已拨付的扶持资金，并根据市有关规定纳入公共信用信息数据平台。</w:t>
      </w:r>
      <w:r>
        <w:rPr>
          <w:rFonts w:ascii="仿宋_GB2312" w:eastAsia="仿宋_GB2312" w:hint="eastAsia"/>
          <w:sz w:val="32"/>
          <w:szCs w:val="32"/>
        </w:rPr>
        <w:t>对违反相关法律法规的扶持对象，经查实，根据情节轻重，在一定时期内取消相关对象申报扶持资金的资格。</w:t>
      </w:r>
    </w:p>
    <w:p w:rsidR="009D64F6" w:rsidRDefault="004F1048">
      <w:pPr>
        <w:adjustRightInd w:val="0"/>
        <w:snapToGrid w:val="0"/>
        <w:spacing w:line="360" w:lineRule="auto"/>
        <w:ind w:firstLineChars="200" w:firstLine="640"/>
        <w:rPr>
          <w:rFonts w:ascii="仿宋_GB2312" w:eastAsia="仿宋_GB2312" w:hAnsi="仿宋" w:cs="仿宋"/>
          <w:color w:val="000000"/>
          <w:sz w:val="32"/>
          <w:szCs w:val="32"/>
          <w:lang w:val="zh-CN"/>
        </w:rPr>
      </w:pPr>
      <w:r>
        <w:rPr>
          <w:rFonts w:ascii="仿宋_GB2312" w:eastAsia="仿宋_GB2312" w:hAnsi="宋体" w:hint="eastAsia"/>
          <w:color w:val="000000"/>
          <w:sz w:val="32"/>
          <w:szCs w:val="32"/>
        </w:rPr>
        <w:t>（二）</w:t>
      </w:r>
      <w:r>
        <w:rPr>
          <w:rFonts w:ascii="仿宋_GB2312" w:eastAsia="仿宋_GB2312" w:hAnsi="仿宋" w:cs="仿宋" w:hint="eastAsia"/>
          <w:color w:val="000000"/>
          <w:sz w:val="32"/>
          <w:szCs w:val="32"/>
          <w:lang w:val="zh-CN"/>
        </w:rPr>
        <w:t>在享受本办法政策期间，如同时可享受本区其他同类政策的，按照“从高不重复”原则执行。在实施过程中如遇国家、上海市颁布新政策，按新政策执行。</w:t>
      </w:r>
    </w:p>
    <w:p w:rsidR="009D64F6" w:rsidRDefault="004F1048">
      <w:pPr>
        <w:adjustRightInd w:val="0"/>
        <w:snapToGrid w:val="0"/>
        <w:spacing w:line="360" w:lineRule="auto"/>
        <w:ind w:firstLineChars="200" w:firstLine="640"/>
        <w:rPr>
          <w:rFonts w:ascii="仿宋_GB2312" w:eastAsia="仿宋_GB2312" w:hAnsi="宋体" w:cs="Times New Roman"/>
          <w:color w:val="000000"/>
          <w:sz w:val="32"/>
          <w:szCs w:val="32"/>
        </w:rPr>
      </w:pPr>
      <w:r>
        <w:rPr>
          <w:rFonts w:ascii="仿宋_GB2312" w:eastAsia="仿宋_GB2312" w:hAnsi="宋体" w:hint="eastAsia"/>
          <w:color w:val="000000"/>
          <w:sz w:val="32"/>
          <w:szCs w:val="32"/>
        </w:rPr>
        <w:t>（三）本办法由徐汇区市场监督管理局（知识产权局）负责解释。</w:t>
      </w:r>
    </w:p>
    <w:p w:rsidR="009D64F6" w:rsidRDefault="004F1048">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（四）本办法自</w:t>
      </w:r>
      <w:r>
        <w:rPr>
          <w:rFonts w:ascii="仿宋_GB2312" w:eastAsia="仿宋_GB2312" w:hAnsi="宋体" w:hint="eastAsia"/>
          <w:color w:val="000000"/>
          <w:sz w:val="32"/>
          <w:szCs w:val="32"/>
        </w:rPr>
        <w:t>2023</w:t>
      </w:r>
      <w:r>
        <w:rPr>
          <w:rFonts w:ascii="仿宋_GB2312" w:eastAsia="仿宋_GB2312" w:hAnsi="宋体" w:hint="eastAsia"/>
          <w:color w:val="000000"/>
          <w:sz w:val="32"/>
          <w:szCs w:val="32"/>
        </w:rPr>
        <w:t>年</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月</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日起施行，有效期至</w:t>
      </w:r>
      <w:r>
        <w:rPr>
          <w:rFonts w:ascii="仿宋_GB2312" w:eastAsia="仿宋_GB2312" w:hAnsi="仿宋" w:cs="仿宋" w:hint="eastAsia"/>
          <w:color w:val="000000"/>
          <w:sz w:val="32"/>
          <w:szCs w:val="32"/>
          <w:lang w:val="zh-CN"/>
        </w:rPr>
        <w:t>202</w:t>
      </w:r>
      <w:r>
        <w:rPr>
          <w:rFonts w:ascii="仿宋_GB2312" w:eastAsia="仿宋_GB2312" w:hAnsi="仿宋" w:cs="仿宋" w:hint="eastAsia"/>
          <w:color w:val="000000"/>
          <w:sz w:val="32"/>
          <w:szCs w:val="32"/>
        </w:rPr>
        <w:t>5</w:t>
      </w:r>
      <w:r>
        <w:rPr>
          <w:rFonts w:ascii="仿宋_GB2312" w:eastAsia="仿宋_GB2312" w:hAnsi="仿宋" w:cs="仿宋" w:hint="eastAsia"/>
          <w:color w:val="000000"/>
          <w:sz w:val="32"/>
          <w:szCs w:val="32"/>
          <w:lang w:val="zh-CN"/>
        </w:rPr>
        <w:t>年</w:t>
      </w:r>
      <w:r>
        <w:rPr>
          <w:rFonts w:ascii="仿宋_GB2312" w:eastAsia="仿宋_GB2312" w:hAnsi="仿宋" w:cs="仿宋" w:hint="eastAsia"/>
          <w:color w:val="000000"/>
          <w:sz w:val="32"/>
          <w:szCs w:val="32"/>
          <w:lang w:val="zh-CN"/>
        </w:rPr>
        <w:t>12</w:t>
      </w:r>
      <w:r>
        <w:rPr>
          <w:rFonts w:ascii="仿宋_GB2312" w:eastAsia="仿宋_GB2312" w:hAnsi="仿宋" w:cs="仿宋" w:hint="eastAsia"/>
          <w:color w:val="000000"/>
          <w:sz w:val="32"/>
          <w:szCs w:val="32"/>
          <w:lang w:val="zh-CN"/>
        </w:rPr>
        <w:t>月</w:t>
      </w:r>
      <w:r>
        <w:rPr>
          <w:rFonts w:ascii="仿宋_GB2312" w:eastAsia="仿宋_GB2312" w:hAnsi="仿宋" w:cs="仿宋" w:hint="eastAsia"/>
          <w:color w:val="000000"/>
          <w:sz w:val="32"/>
          <w:szCs w:val="32"/>
          <w:lang w:val="zh-CN"/>
        </w:rPr>
        <w:t>31</w:t>
      </w:r>
      <w:r>
        <w:rPr>
          <w:rFonts w:ascii="仿宋_GB2312" w:eastAsia="仿宋_GB2312" w:hAnsi="仿宋" w:cs="仿宋" w:hint="eastAsia"/>
          <w:color w:val="000000"/>
          <w:sz w:val="32"/>
          <w:szCs w:val="32"/>
          <w:lang w:val="zh-CN"/>
        </w:rPr>
        <w:t>日止</w:t>
      </w:r>
      <w:r>
        <w:rPr>
          <w:rFonts w:ascii="仿宋_GB2312" w:eastAsia="仿宋_GB2312" w:hAnsi="宋体" w:hint="eastAsia"/>
          <w:color w:val="000000"/>
          <w:sz w:val="32"/>
          <w:szCs w:val="32"/>
        </w:rPr>
        <w:t>。在此期间新注册登记的各</w:t>
      </w:r>
      <w:proofErr w:type="gramStart"/>
      <w:r>
        <w:rPr>
          <w:rFonts w:ascii="仿宋_GB2312" w:eastAsia="仿宋_GB2312" w:hAnsi="宋体" w:hint="eastAsia"/>
          <w:color w:val="000000"/>
          <w:sz w:val="32"/>
          <w:szCs w:val="32"/>
        </w:rPr>
        <w:t>类创新</w:t>
      </w:r>
      <w:proofErr w:type="gramEnd"/>
      <w:r>
        <w:rPr>
          <w:rFonts w:ascii="仿宋_GB2312" w:eastAsia="仿宋_GB2312" w:hAnsi="宋体" w:hint="eastAsia"/>
          <w:color w:val="000000"/>
          <w:sz w:val="32"/>
          <w:szCs w:val="32"/>
        </w:rPr>
        <w:t>主体按照本意见执行。在本意见施行前享受原政策的各</w:t>
      </w:r>
      <w:proofErr w:type="gramStart"/>
      <w:r>
        <w:rPr>
          <w:rFonts w:ascii="仿宋_GB2312" w:eastAsia="仿宋_GB2312" w:hAnsi="宋体" w:hint="eastAsia"/>
          <w:color w:val="000000"/>
          <w:sz w:val="32"/>
          <w:szCs w:val="32"/>
        </w:rPr>
        <w:t>类创新</w:t>
      </w:r>
      <w:proofErr w:type="gramEnd"/>
      <w:r>
        <w:rPr>
          <w:rFonts w:ascii="仿宋_GB2312" w:eastAsia="仿宋_GB2312" w:hAnsi="宋体" w:hint="eastAsia"/>
          <w:color w:val="000000"/>
          <w:sz w:val="32"/>
          <w:szCs w:val="32"/>
        </w:rPr>
        <w:t>主体，按本区原政策执行</w:t>
      </w:r>
      <w:proofErr w:type="gramStart"/>
      <w:r>
        <w:rPr>
          <w:rFonts w:ascii="仿宋_GB2312" w:eastAsia="仿宋_GB2312" w:hAnsi="宋体" w:hint="eastAsia"/>
          <w:color w:val="000000"/>
          <w:sz w:val="32"/>
          <w:szCs w:val="32"/>
        </w:rPr>
        <w:t>至政策</w:t>
      </w:r>
      <w:proofErr w:type="gramEnd"/>
      <w:r>
        <w:rPr>
          <w:rFonts w:ascii="仿宋_GB2312" w:eastAsia="仿宋_GB2312" w:hAnsi="宋体" w:hint="eastAsia"/>
          <w:color w:val="000000"/>
          <w:sz w:val="32"/>
          <w:szCs w:val="32"/>
        </w:rPr>
        <w:t>期满。</w:t>
      </w:r>
    </w:p>
    <w:p w:rsidR="009D64F6" w:rsidRDefault="009D64F6">
      <w:pPr>
        <w:adjustRightInd w:val="0"/>
        <w:snapToGrid w:val="0"/>
        <w:spacing w:line="360" w:lineRule="auto"/>
        <w:ind w:firstLineChars="200" w:firstLine="420"/>
      </w:pPr>
    </w:p>
    <w:p w:rsidR="009D64F6" w:rsidRDefault="009D64F6">
      <w:pPr>
        <w:adjustRightInd w:val="0"/>
        <w:snapToGrid w:val="0"/>
        <w:spacing w:line="360" w:lineRule="auto"/>
        <w:ind w:firstLineChars="200" w:firstLine="420"/>
      </w:pPr>
    </w:p>
    <w:p w:rsidR="009D64F6" w:rsidRDefault="009D64F6">
      <w:pPr>
        <w:adjustRightInd w:val="0"/>
        <w:snapToGrid w:val="0"/>
        <w:spacing w:line="360" w:lineRule="auto"/>
      </w:pPr>
    </w:p>
    <w:p w:rsidR="009D64F6" w:rsidRDefault="009D64F6">
      <w:pPr>
        <w:adjustRightInd w:val="0"/>
        <w:snapToGrid w:val="0"/>
        <w:spacing w:line="360" w:lineRule="auto"/>
      </w:pPr>
    </w:p>
    <w:p w:rsidR="009D64F6" w:rsidRDefault="009D64F6">
      <w:pPr>
        <w:adjustRightInd w:val="0"/>
        <w:snapToGrid w:val="0"/>
        <w:spacing w:line="360" w:lineRule="auto"/>
      </w:pPr>
    </w:p>
    <w:p w:rsidR="009D64F6" w:rsidRDefault="009D64F6">
      <w:pPr>
        <w:adjustRightInd w:val="0"/>
        <w:snapToGrid w:val="0"/>
        <w:spacing w:line="360" w:lineRule="auto"/>
      </w:pPr>
    </w:p>
    <w:p w:rsidR="009D64F6" w:rsidRDefault="009D64F6">
      <w:pPr>
        <w:ind w:firstLineChars="1400" w:firstLine="2940"/>
        <w:rPr>
          <w:rFonts w:hAnsi="宋体"/>
          <w:szCs w:val="30"/>
        </w:rPr>
      </w:pPr>
    </w:p>
    <w:p w:rsidR="009D64F6" w:rsidRDefault="004F1048">
      <w:pPr>
        <w:ind w:firstLineChars="1400" w:firstLine="3920"/>
        <w:rPr>
          <w:rFonts w:hAnsi="宋体"/>
          <w:szCs w:val="30"/>
        </w:rPr>
      </w:pPr>
      <w:r>
        <w:rPr>
          <w:rFonts w:ascii="仿宋_GB2312" w:eastAsia="仿宋_GB2312"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372745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5pt,29.35pt" to="442.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" strokeweight="1pt"/>
            </w:pict>
          </mc:Fallback>
        </mc:AlternateContent>
      </w:r>
    </w:p>
    <w:p w:rsidR="009D64F6" w:rsidRDefault="004F1048">
      <w:pPr>
        <w:spacing w:line="440" w:lineRule="exact"/>
      </w:pPr>
      <w:r>
        <w:rPr>
          <w:rFonts w:ascii="仿宋_GB2312" w:eastAsia="仿宋_GB2312"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297180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23.4pt" to="44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" strokeweight="1pt"/>
            </w:pict>
          </mc:Fallback>
        </mc:AlternateContent>
      </w:r>
      <w:r>
        <w:rPr>
          <w:rFonts w:ascii="仿宋_GB2312" w:eastAsia="仿宋_GB2312" w:hAnsi="宋体" w:hint="eastAsia"/>
          <w:sz w:val="28"/>
          <w:szCs w:val="28"/>
        </w:rPr>
        <w:t>上海市徐汇区市场监督管理局办公室</w:t>
      </w:r>
      <w:r>
        <w:rPr>
          <w:rFonts w:ascii="仿宋_GB2312" w:eastAsia="仿宋_GB2312" w:hAnsi="宋体" w:hint="eastAsia"/>
          <w:spacing w:val="-2"/>
          <w:sz w:val="28"/>
          <w:szCs w:val="28"/>
        </w:rPr>
        <w:t xml:space="preserve">         </w:t>
      </w:r>
      <w:r>
        <w:rPr>
          <w:rFonts w:ascii="仿宋_GB2312" w:eastAsia="仿宋_GB2312" w:hAnsi="宋体" w:hint="eastAsia"/>
          <w:sz w:val="28"/>
          <w:szCs w:val="28"/>
        </w:rPr>
        <w:t>2022</w:t>
      </w:r>
      <w:r>
        <w:rPr>
          <w:rFonts w:ascii="仿宋_GB2312" w:eastAsia="仿宋_GB2312" w:hAnsi="宋体" w:hint="eastAsia"/>
          <w:sz w:val="28"/>
          <w:szCs w:val="28"/>
        </w:rPr>
        <w:t>年</w:t>
      </w:r>
      <w:r>
        <w:rPr>
          <w:rFonts w:ascii="仿宋_GB2312" w:eastAsia="仿宋_GB2312" w:hAnsi="宋体"/>
          <w:sz w:val="28"/>
          <w:szCs w:val="28"/>
          <w:lang w:val="en"/>
        </w:rPr>
        <w:t>10</w:t>
      </w:r>
      <w:r>
        <w:rPr>
          <w:rFonts w:ascii="仿宋_GB2312" w:eastAsia="仿宋_GB2312" w:hAnsi="宋体" w:hint="eastAsia"/>
          <w:sz w:val="28"/>
          <w:szCs w:val="28"/>
        </w:rPr>
        <w:t>月</w:t>
      </w:r>
      <w:r>
        <w:rPr>
          <w:rFonts w:ascii="仿宋_GB2312" w:eastAsia="仿宋_GB2312" w:hAnsi="宋体" w:hint="eastAsia"/>
          <w:sz w:val="28"/>
          <w:szCs w:val="28"/>
        </w:rPr>
        <w:t>24</w:t>
      </w:r>
      <w:r>
        <w:rPr>
          <w:rFonts w:ascii="仿宋_GB2312" w:eastAsia="仿宋_GB2312" w:hAnsi="宋体" w:hint="eastAsia"/>
          <w:sz w:val="28"/>
          <w:szCs w:val="28"/>
        </w:rPr>
        <w:t>日印发</w:t>
      </w:r>
      <w:r>
        <w:rPr>
          <w:rFonts w:ascii="仿宋_GB2312" w:eastAsia="仿宋_GB2312" w:hAnsi="宋体" w:hint="eastAsia"/>
          <w:sz w:val="28"/>
          <w:szCs w:val="28"/>
        </w:rPr>
        <w:t xml:space="preserve"> </w:t>
      </w:r>
    </w:p>
    <w:sectPr w:rsidR="009D64F6">
      <w:footerReference w:type="even" r:id="rId10"/>
      <w:footerReference w:type="default" r:id="rId11"/>
      <w:pgSz w:w="11906" w:h="16838"/>
      <w:pgMar w:top="2098" w:right="1474" w:bottom="1984" w:left="1588"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48" w:rsidRDefault="004F1048">
      <w:r>
        <w:separator/>
      </w:r>
    </w:p>
  </w:endnote>
  <w:endnote w:type="continuationSeparator" w:id="0">
    <w:p w:rsidR="004F1048" w:rsidRDefault="004F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F6" w:rsidRDefault="004F1048">
    <w:pPr>
      <w:pStyle w:val="a5"/>
      <w:ind w:firstLineChars="100" w:firstLine="28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Pr>
        <w:rFonts w:ascii="宋体" w:hAnsi="宋体"/>
        <w:sz w:val="28"/>
        <w:szCs w:val="21"/>
      </w:rPr>
      <w:t>2</w:t>
    </w:r>
    <w:r>
      <w:rPr>
        <w:rFonts w:ascii="宋体" w:hAnsi="宋体"/>
        <w:sz w:val="28"/>
        <w:szCs w:val="21"/>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F6" w:rsidRDefault="004F1048">
    <w:pPr>
      <w:pStyle w:val="a5"/>
      <w:ind w:firstLineChars="2750" w:firstLine="7700"/>
      <w:rPr>
        <w:rFonts w:asciiTheme="minorEastAsia" w:hAnsiTheme="minorEastAsia"/>
        <w:sz w:val="24"/>
        <w:szCs w:val="24"/>
      </w:rPr>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sidR="008F1A2F">
      <w:rPr>
        <w:rFonts w:ascii="宋体" w:hAnsi="宋体"/>
        <w:noProof/>
        <w:sz w:val="28"/>
        <w:szCs w:val="21"/>
      </w:rPr>
      <w:t>1</w:t>
    </w:r>
    <w:r>
      <w:rPr>
        <w:rFonts w:ascii="宋体" w:hAnsi="宋体"/>
        <w:sz w:val="28"/>
        <w:szCs w:val="21"/>
      </w:rPr>
      <w:fldChar w:fldCharType="end"/>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F6" w:rsidRDefault="004F1048">
    <w:pPr>
      <w:pStyle w:val="a5"/>
      <w:ind w:firstLineChars="100" w:firstLine="28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sidR="008F1A2F">
      <w:rPr>
        <w:rFonts w:ascii="宋体" w:hAnsi="宋体"/>
        <w:noProof/>
        <w:sz w:val="28"/>
        <w:szCs w:val="21"/>
      </w:rPr>
      <w:t>8</w:t>
    </w:r>
    <w:r>
      <w:rPr>
        <w:rFonts w:ascii="宋体" w:hAnsi="宋体"/>
        <w:sz w:val="28"/>
        <w:szCs w:val="21"/>
      </w:rPr>
      <w:fldChar w:fldCharType="end"/>
    </w:r>
    <w:r>
      <w:rPr>
        <w:rFonts w:ascii="宋体" w:hAnsi="宋体"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196247"/>
    </w:sdtPr>
    <w:sdtEndPr/>
    <w:sdtContent>
      <w:p w:rsidR="009D64F6" w:rsidRDefault="004F1048">
        <w:pPr>
          <w:pStyle w:val="a5"/>
          <w:ind w:firstLineChars="4300" w:firstLine="774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sidR="008F1A2F">
          <w:rPr>
            <w:rFonts w:ascii="宋体" w:hAnsi="宋体"/>
            <w:noProof/>
            <w:sz w:val="28"/>
            <w:szCs w:val="21"/>
          </w:rPr>
          <w:t>9</w:t>
        </w:r>
        <w:r>
          <w:rPr>
            <w:rFonts w:ascii="宋体" w:hAnsi="宋体"/>
            <w:sz w:val="28"/>
            <w:szCs w:val="21"/>
          </w:rPr>
          <w:fldChar w:fldCharType="end"/>
        </w:r>
        <w:r>
          <w:rPr>
            <w:rFonts w:ascii="宋体" w:hAnsi="宋体"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48" w:rsidRDefault="004F1048">
      <w:r>
        <w:separator/>
      </w:r>
    </w:p>
  </w:footnote>
  <w:footnote w:type="continuationSeparator" w:id="0">
    <w:p w:rsidR="004F1048" w:rsidRDefault="004F1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99"/>
    <w:rsid w:val="997B9C2C"/>
    <w:rsid w:val="CE6FDE64"/>
    <w:rsid w:val="EBFFC3DE"/>
    <w:rsid w:val="F36FD1FA"/>
    <w:rsid w:val="FFAE99F7"/>
    <w:rsid w:val="00095D0A"/>
    <w:rsid w:val="000C6CE1"/>
    <w:rsid w:val="00130213"/>
    <w:rsid w:val="00144288"/>
    <w:rsid w:val="001A52C8"/>
    <w:rsid w:val="001A7ECF"/>
    <w:rsid w:val="0022061B"/>
    <w:rsid w:val="002216F2"/>
    <w:rsid w:val="002432E0"/>
    <w:rsid w:val="00293CFC"/>
    <w:rsid w:val="003149E4"/>
    <w:rsid w:val="00334A4F"/>
    <w:rsid w:val="00346664"/>
    <w:rsid w:val="00352353"/>
    <w:rsid w:val="00361CD0"/>
    <w:rsid w:val="003C5624"/>
    <w:rsid w:val="003C5798"/>
    <w:rsid w:val="003D75CE"/>
    <w:rsid w:val="00430B5B"/>
    <w:rsid w:val="00431C77"/>
    <w:rsid w:val="00476CD6"/>
    <w:rsid w:val="004C6DC5"/>
    <w:rsid w:val="004D137B"/>
    <w:rsid w:val="004F1048"/>
    <w:rsid w:val="00537146"/>
    <w:rsid w:val="00546BFD"/>
    <w:rsid w:val="0058123A"/>
    <w:rsid w:val="0058265E"/>
    <w:rsid w:val="00597585"/>
    <w:rsid w:val="005A5858"/>
    <w:rsid w:val="005B510C"/>
    <w:rsid w:val="005C3DAE"/>
    <w:rsid w:val="006146AC"/>
    <w:rsid w:val="006202E8"/>
    <w:rsid w:val="00635346"/>
    <w:rsid w:val="0068582F"/>
    <w:rsid w:val="006A326C"/>
    <w:rsid w:val="00730851"/>
    <w:rsid w:val="00744F00"/>
    <w:rsid w:val="007559BC"/>
    <w:rsid w:val="008965E3"/>
    <w:rsid w:val="008F1A2F"/>
    <w:rsid w:val="00910E13"/>
    <w:rsid w:val="00914EC8"/>
    <w:rsid w:val="0094758D"/>
    <w:rsid w:val="00947952"/>
    <w:rsid w:val="00983B36"/>
    <w:rsid w:val="009D64F6"/>
    <w:rsid w:val="009E53CD"/>
    <w:rsid w:val="00A11EBA"/>
    <w:rsid w:val="00AA4B3C"/>
    <w:rsid w:val="00AB0E6B"/>
    <w:rsid w:val="00AB39B3"/>
    <w:rsid w:val="00AD5732"/>
    <w:rsid w:val="00AE3D18"/>
    <w:rsid w:val="00AF1E8E"/>
    <w:rsid w:val="00AF4A7D"/>
    <w:rsid w:val="00B220F6"/>
    <w:rsid w:val="00B2713B"/>
    <w:rsid w:val="00B66219"/>
    <w:rsid w:val="00B8503E"/>
    <w:rsid w:val="00BA5B99"/>
    <w:rsid w:val="00BD6036"/>
    <w:rsid w:val="00C11866"/>
    <w:rsid w:val="00C17B78"/>
    <w:rsid w:val="00C308F5"/>
    <w:rsid w:val="00C711A1"/>
    <w:rsid w:val="00C82410"/>
    <w:rsid w:val="00CA3285"/>
    <w:rsid w:val="00CA3A68"/>
    <w:rsid w:val="00CF2297"/>
    <w:rsid w:val="00CF44E0"/>
    <w:rsid w:val="00D3604A"/>
    <w:rsid w:val="00D75C21"/>
    <w:rsid w:val="00D93A35"/>
    <w:rsid w:val="00DB55EA"/>
    <w:rsid w:val="00DC499C"/>
    <w:rsid w:val="00DE50DF"/>
    <w:rsid w:val="00E000BF"/>
    <w:rsid w:val="00E0505A"/>
    <w:rsid w:val="00E2324A"/>
    <w:rsid w:val="00EA28D9"/>
    <w:rsid w:val="00EA2B13"/>
    <w:rsid w:val="00EB58DD"/>
    <w:rsid w:val="00EF451B"/>
    <w:rsid w:val="00F013A8"/>
    <w:rsid w:val="00F10DC4"/>
    <w:rsid w:val="00F27F9D"/>
    <w:rsid w:val="00F76B2A"/>
    <w:rsid w:val="00FA29A1"/>
    <w:rsid w:val="00FB778E"/>
    <w:rsid w:val="00FD105E"/>
    <w:rsid w:val="00FE7B39"/>
    <w:rsid w:val="1D7B9A26"/>
    <w:rsid w:val="22B3A14D"/>
    <w:rsid w:val="3B6E1813"/>
    <w:rsid w:val="5F5BBBEF"/>
    <w:rsid w:val="6EF889FF"/>
    <w:rsid w:val="6FDFBA79"/>
    <w:rsid w:val="7FCB22F4"/>
    <w:rsid w:val="7FEA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imes New Roman" w:eastAsia="宋体" w:hAnsi="Times New Roman" w:cs="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imes New Roman" w:eastAsia="宋体" w:hAnsi="Times New Roman" w:cs="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3569</Characters>
  <Application>Microsoft Office Word</Application>
  <DocSecurity>0</DocSecurity>
  <Lines>29</Lines>
  <Paragraphs>8</Paragraphs>
  <ScaleCrop>false</ScaleCrop>
  <Company>Microsoft</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上海市徐汇区市场监督管理局</dc:title>
  <dc:creator>dy</dc:creator>
  <cp:lastModifiedBy>杨永香</cp:lastModifiedBy>
  <cp:revision>1</cp:revision>
  <cp:lastPrinted>2022-09-29T11:32:00Z</cp:lastPrinted>
  <dcterms:created xsi:type="dcterms:W3CDTF">2022-10-31T01:53:00Z</dcterms:created>
  <dcterms:modified xsi:type="dcterms:W3CDTF">2022-10-31T01:53:00Z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