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924" w:rsidRDefault="00BC4924" w:rsidP="00BC4924">
      <w:pPr>
        <w:pStyle w:val="a5"/>
        <w:shd w:val="clear" w:color="auto" w:fill="FFFFFF"/>
        <w:spacing w:before="0" w:beforeAutospacing="0" w:after="0" w:afterAutospacing="0" w:line="245" w:lineRule="atLeast"/>
        <w:jc w:val="both"/>
        <w:rPr>
          <w:rFonts w:ascii="仿宋" w:eastAsia="仿宋" w:hAnsi="仿宋"/>
          <w:color w:val="000000"/>
          <w:sz w:val="32"/>
          <w:szCs w:val="32"/>
        </w:rPr>
      </w:pPr>
      <w:r>
        <w:rPr>
          <w:rFonts w:hint="eastAsia"/>
          <w:color w:val="FF0000"/>
          <w:sz w:val="32"/>
          <w:szCs w:val="32"/>
        </w:rPr>
        <w:t> </w:t>
      </w:r>
    </w:p>
    <w:p w:rsidR="00BC4924" w:rsidRDefault="00BC4924" w:rsidP="00BC4924">
      <w:pPr>
        <w:pStyle w:val="a5"/>
        <w:shd w:val="clear" w:color="auto" w:fill="FFFFFF"/>
        <w:spacing w:before="0" w:beforeAutospacing="0" w:after="0" w:afterAutospacing="0"/>
        <w:ind w:left="170" w:right="170"/>
        <w:jc w:val="both"/>
        <w:rPr>
          <w:rFonts w:ascii="仿宋" w:eastAsia="仿宋" w:hAnsi="仿宋" w:hint="eastAsia"/>
          <w:color w:val="000000"/>
          <w:sz w:val="32"/>
          <w:szCs w:val="32"/>
        </w:rPr>
      </w:pPr>
      <w:r>
        <w:rPr>
          <w:rFonts w:ascii="方正小标宋简体" w:eastAsia="方正小标宋简体" w:hAnsi="仿宋" w:hint="eastAsia"/>
          <w:color w:val="FF0000"/>
          <w:sz w:val="72"/>
          <w:szCs w:val="72"/>
        </w:rPr>
        <w:t>上海市市场监督管理局</w:t>
      </w:r>
    </w:p>
    <w:p w:rsidR="00BC4924" w:rsidRDefault="00BC4924" w:rsidP="00BC4924">
      <w:pPr>
        <w:pStyle w:val="a5"/>
        <w:shd w:val="clear" w:color="auto" w:fill="FFFFFF"/>
        <w:spacing w:before="0" w:beforeAutospacing="0" w:after="0" w:afterAutospacing="0"/>
        <w:ind w:left="170" w:right="170"/>
        <w:jc w:val="both"/>
        <w:rPr>
          <w:rFonts w:ascii="仿宋" w:eastAsia="仿宋" w:hAnsi="仿宋" w:hint="eastAsia"/>
          <w:color w:val="000000"/>
          <w:sz w:val="32"/>
          <w:szCs w:val="32"/>
        </w:rPr>
      </w:pPr>
      <w:r>
        <w:rPr>
          <w:rFonts w:ascii="方正小标宋简体" w:eastAsia="方正小标宋简体" w:hAnsi="仿宋" w:hint="eastAsia"/>
          <w:color w:val="FF0000"/>
          <w:sz w:val="72"/>
          <w:szCs w:val="72"/>
        </w:rPr>
        <w:t>上海市卫生健康委员会</w:t>
      </w:r>
    </w:p>
    <w:p w:rsidR="00BC4924" w:rsidRDefault="00BC4924" w:rsidP="00BC4924">
      <w:pPr>
        <w:pStyle w:val="a5"/>
        <w:shd w:val="clear" w:color="auto" w:fill="FFFFFF"/>
        <w:spacing w:before="0" w:beforeAutospacing="0" w:after="0" w:afterAutospacing="0" w:line="198" w:lineRule="atLeast"/>
        <w:jc w:val="center"/>
        <w:rPr>
          <w:rFonts w:ascii="仿宋" w:eastAsia="仿宋" w:hAnsi="仿宋" w:hint="eastAsia"/>
          <w:color w:val="000000"/>
          <w:sz w:val="32"/>
          <w:szCs w:val="32"/>
        </w:rPr>
      </w:pPr>
      <w:r>
        <w:rPr>
          <w:rFonts w:hint="eastAsia"/>
          <w:color w:val="000000"/>
          <w:sz w:val="32"/>
          <w:szCs w:val="32"/>
        </w:rPr>
        <w:t> </w:t>
      </w:r>
    </w:p>
    <w:p w:rsidR="00BC4924" w:rsidRDefault="00BC4924" w:rsidP="00BC4924">
      <w:pPr>
        <w:pStyle w:val="a5"/>
        <w:shd w:val="clear" w:color="auto" w:fill="FFFFFF"/>
        <w:spacing w:before="0" w:beforeAutospacing="0" w:after="0" w:afterAutospacing="0" w:line="198" w:lineRule="atLeast"/>
        <w:jc w:val="center"/>
        <w:rPr>
          <w:rFonts w:ascii="仿宋" w:eastAsia="仿宋" w:hAnsi="仿宋" w:hint="eastAsia"/>
          <w:color w:val="000000"/>
          <w:sz w:val="32"/>
          <w:szCs w:val="32"/>
        </w:rPr>
      </w:pPr>
      <w:r>
        <w:rPr>
          <w:rFonts w:hint="eastAsia"/>
          <w:color w:val="000000"/>
          <w:sz w:val="32"/>
          <w:szCs w:val="32"/>
        </w:rPr>
        <w:t> </w:t>
      </w:r>
    </w:p>
    <w:p w:rsidR="00BC4924" w:rsidRDefault="00BC4924" w:rsidP="00BC4924">
      <w:pPr>
        <w:pStyle w:val="a5"/>
        <w:shd w:val="clear" w:color="auto" w:fill="FFFFFF"/>
        <w:spacing w:before="0" w:beforeAutospacing="0" w:after="0" w:afterAutospacing="0" w:line="264" w:lineRule="atLeast"/>
        <w:jc w:val="center"/>
        <w:rPr>
          <w:rFonts w:ascii="仿宋" w:eastAsia="仿宋" w:hAnsi="仿宋" w:hint="eastAsia"/>
          <w:color w:val="000000"/>
          <w:sz w:val="32"/>
          <w:szCs w:val="32"/>
        </w:rPr>
      </w:pPr>
      <w:r>
        <w:rPr>
          <w:rFonts w:ascii="仿宋" w:eastAsia="仿宋" w:hAnsi="仿宋"/>
          <w:noProof/>
          <w:color w:val="000000"/>
          <w:sz w:val="32"/>
          <w:szCs w:val="32"/>
        </w:rPr>
        <w:drawing>
          <wp:inline distT="0" distB="0" distL="0" distR="0">
            <wp:extent cx="5638165" cy="27940"/>
            <wp:effectExtent l="19050" t="0" r="635" b="0"/>
            <wp:docPr id="1" name="图片 1" descr="http://xxgk.shbsq.gov.cn/Shbszxxgk/fui/js/lib/ewebeditor/uploadfile/20210201101927679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xgk.shbsq.gov.cn/Shbszxxgk/fui/js/lib/ewebeditor/uploadfile/20210201101927679002.png"/>
                    <pic:cNvPicPr>
                      <a:picLocks noChangeAspect="1" noChangeArrowheads="1"/>
                    </pic:cNvPicPr>
                  </pic:nvPicPr>
                  <pic:blipFill>
                    <a:blip r:embed="rId6" cstate="print"/>
                    <a:srcRect/>
                    <a:stretch>
                      <a:fillRect/>
                    </a:stretch>
                  </pic:blipFill>
                  <pic:spPr bwMode="auto">
                    <a:xfrm>
                      <a:off x="0" y="0"/>
                      <a:ext cx="5638165" cy="27940"/>
                    </a:xfrm>
                    <a:prstGeom prst="rect">
                      <a:avLst/>
                    </a:prstGeom>
                    <a:noFill/>
                    <a:ln w="9525">
                      <a:noFill/>
                      <a:miter lim="800000"/>
                      <a:headEnd/>
                      <a:tailEnd/>
                    </a:ln>
                  </pic:spPr>
                </pic:pic>
              </a:graphicData>
            </a:graphic>
          </wp:inline>
        </w:drawing>
      </w:r>
      <w:r>
        <w:rPr>
          <w:rFonts w:ascii="仿宋" w:eastAsia="仿宋" w:hAnsi="仿宋" w:hint="eastAsia"/>
          <w:color w:val="000000"/>
          <w:sz w:val="32"/>
          <w:szCs w:val="32"/>
        </w:rPr>
        <w:t>沪市监</w:t>
      </w:r>
      <w:proofErr w:type="gramStart"/>
      <w:r>
        <w:rPr>
          <w:rFonts w:ascii="仿宋" w:eastAsia="仿宋" w:hAnsi="仿宋" w:hint="eastAsia"/>
          <w:color w:val="000000"/>
          <w:sz w:val="32"/>
          <w:szCs w:val="32"/>
        </w:rPr>
        <w:t>特</w:t>
      </w:r>
      <w:proofErr w:type="gramEnd"/>
      <w:r>
        <w:rPr>
          <w:rFonts w:ascii="仿宋" w:eastAsia="仿宋" w:hAnsi="仿宋" w:hint="eastAsia"/>
          <w:color w:val="000000"/>
          <w:sz w:val="32"/>
          <w:szCs w:val="32"/>
        </w:rPr>
        <w:t>食〔2021〕26号</w:t>
      </w:r>
    </w:p>
    <w:p w:rsidR="00BC4924" w:rsidRDefault="00BC4924" w:rsidP="00BC4924">
      <w:pPr>
        <w:pStyle w:val="a5"/>
        <w:shd w:val="clear" w:color="auto" w:fill="FFFFFF"/>
        <w:spacing w:before="0" w:beforeAutospacing="0" w:after="0" w:afterAutospacing="0" w:line="264" w:lineRule="atLeast"/>
        <w:jc w:val="center"/>
        <w:rPr>
          <w:rFonts w:ascii="仿宋" w:eastAsia="仿宋" w:hAnsi="仿宋" w:hint="eastAsia"/>
          <w:color w:val="000000"/>
          <w:sz w:val="32"/>
          <w:szCs w:val="32"/>
        </w:rPr>
      </w:pPr>
      <w:r>
        <w:rPr>
          <w:rFonts w:hint="eastAsia"/>
          <w:color w:val="000000"/>
          <w:sz w:val="32"/>
          <w:szCs w:val="32"/>
        </w:rPr>
        <w:t> </w:t>
      </w:r>
    </w:p>
    <w:p w:rsidR="00BC4924" w:rsidRDefault="00BC4924" w:rsidP="00BC4924">
      <w:pPr>
        <w:pStyle w:val="a5"/>
        <w:shd w:val="clear" w:color="auto" w:fill="FFFFFF"/>
        <w:spacing w:before="0" w:beforeAutospacing="0" w:after="0" w:afterAutospacing="0" w:line="264" w:lineRule="atLeast"/>
        <w:jc w:val="center"/>
        <w:rPr>
          <w:rFonts w:ascii="仿宋" w:eastAsia="仿宋" w:hAnsi="仿宋" w:hint="eastAsia"/>
          <w:color w:val="000000"/>
          <w:sz w:val="32"/>
          <w:szCs w:val="32"/>
        </w:rPr>
      </w:pPr>
      <w:r>
        <w:rPr>
          <w:rFonts w:hint="eastAsia"/>
          <w:color w:val="000000"/>
          <w:sz w:val="32"/>
          <w:szCs w:val="32"/>
        </w:rPr>
        <w:t> </w:t>
      </w:r>
    </w:p>
    <w:p w:rsidR="00BC4924" w:rsidRDefault="00BC4924" w:rsidP="00BC4924">
      <w:pPr>
        <w:pStyle w:val="a5"/>
        <w:shd w:val="clear" w:color="auto" w:fill="FFFFFF"/>
        <w:spacing w:before="0" w:beforeAutospacing="0" w:after="0" w:afterAutospacing="0"/>
        <w:jc w:val="center"/>
        <w:rPr>
          <w:rFonts w:ascii="仿宋" w:eastAsia="仿宋" w:hAnsi="仿宋" w:hint="eastAsia"/>
          <w:color w:val="000000"/>
          <w:sz w:val="32"/>
          <w:szCs w:val="32"/>
        </w:rPr>
      </w:pPr>
      <w:r>
        <w:rPr>
          <w:rFonts w:ascii="方正小标宋简体" w:eastAsia="方正小标宋简体" w:hAnsi="仿宋" w:hint="eastAsia"/>
          <w:color w:val="000000"/>
          <w:spacing w:val="-8"/>
          <w:sz w:val="44"/>
          <w:szCs w:val="44"/>
        </w:rPr>
        <w:t>上海市市场监督管理局　上海市卫生健康委员会</w:t>
      </w:r>
    </w:p>
    <w:p w:rsidR="00BC4924" w:rsidRDefault="00BC4924" w:rsidP="00BC4924">
      <w:pPr>
        <w:pStyle w:val="a5"/>
        <w:shd w:val="clear" w:color="auto" w:fill="FFFFFF"/>
        <w:spacing w:before="0" w:beforeAutospacing="0" w:after="0" w:afterAutospacing="0"/>
        <w:jc w:val="center"/>
        <w:rPr>
          <w:rFonts w:ascii="仿宋" w:eastAsia="仿宋" w:hAnsi="仿宋" w:hint="eastAsia"/>
          <w:color w:val="000000"/>
          <w:sz w:val="32"/>
          <w:szCs w:val="32"/>
        </w:rPr>
      </w:pPr>
      <w:r>
        <w:rPr>
          <w:rFonts w:ascii="方正小标宋简体" w:eastAsia="方正小标宋简体" w:hAnsi="仿宋" w:hint="eastAsia"/>
          <w:color w:val="000000"/>
          <w:sz w:val="44"/>
          <w:szCs w:val="44"/>
        </w:rPr>
        <w:t>关于进一步规范医疗机构经营特殊医学用途</w:t>
      </w:r>
    </w:p>
    <w:p w:rsidR="00BC4924" w:rsidRDefault="00BC4924" w:rsidP="00BC4924">
      <w:pPr>
        <w:pStyle w:val="a5"/>
        <w:shd w:val="clear" w:color="auto" w:fill="FFFFFF"/>
        <w:spacing w:before="0" w:beforeAutospacing="0" w:after="0" w:afterAutospacing="0"/>
        <w:jc w:val="center"/>
        <w:rPr>
          <w:rFonts w:ascii="仿宋" w:eastAsia="仿宋" w:hAnsi="仿宋" w:hint="eastAsia"/>
          <w:color w:val="000000"/>
          <w:sz w:val="32"/>
          <w:szCs w:val="32"/>
        </w:rPr>
      </w:pPr>
      <w:r>
        <w:rPr>
          <w:rFonts w:ascii="方正小标宋简体" w:eastAsia="方正小标宋简体" w:hAnsi="仿宋" w:hint="eastAsia"/>
          <w:color w:val="000000"/>
          <w:sz w:val="44"/>
          <w:szCs w:val="44"/>
        </w:rPr>
        <w:t>配方食品管理的通知</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hint="eastAsia"/>
          <w:color w:val="000000"/>
          <w:sz w:val="32"/>
          <w:szCs w:val="32"/>
        </w:rPr>
        <w:t> </w:t>
      </w:r>
    </w:p>
    <w:p w:rsidR="00BC4924" w:rsidRDefault="00BC4924" w:rsidP="00BC4924">
      <w:pPr>
        <w:pStyle w:val="a5"/>
        <w:shd w:val="clear" w:color="auto" w:fill="FFFFFF"/>
        <w:spacing w:before="0" w:beforeAutospacing="0" w:after="0" w:afterAutospacing="0" w:line="264" w:lineRule="atLeast"/>
        <w:jc w:val="both"/>
        <w:rPr>
          <w:rFonts w:ascii="仿宋" w:eastAsia="仿宋" w:hAnsi="仿宋" w:hint="eastAsia"/>
          <w:color w:val="000000"/>
          <w:sz w:val="32"/>
          <w:szCs w:val="32"/>
        </w:rPr>
      </w:pPr>
      <w:r>
        <w:rPr>
          <w:rFonts w:ascii="仿宋" w:eastAsia="仿宋" w:hAnsi="仿宋" w:hint="eastAsia"/>
          <w:color w:val="000000"/>
          <w:sz w:val="32"/>
          <w:szCs w:val="32"/>
        </w:rPr>
        <w:t>各区市场监管局、卫生健康委，临港新片区市场监管局，市市场监管局执法总队，</w:t>
      </w:r>
      <w:proofErr w:type="gramStart"/>
      <w:r>
        <w:rPr>
          <w:rFonts w:ascii="仿宋" w:eastAsia="仿宋" w:hAnsi="仿宋" w:hint="eastAsia"/>
          <w:color w:val="000000"/>
          <w:sz w:val="32"/>
          <w:szCs w:val="32"/>
        </w:rPr>
        <w:t>申康医院</w:t>
      </w:r>
      <w:proofErr w:type="gramEnd"/>
      <w:r>
        <w:rPr>
          <w:rFonts w:ascii="仿宋" w:eastAsia="仿宋" w:hAnsi="仿宋" w:hint="eastAsia"/>
          <w:color w:val="000000"/>
          <w:sz w:val="32"/>
          <w:szCs w:val="32"/>
        </w:rPr>
        <w:t>发展中心，有关大学、中福会，各市级医疗机构，有关单位：</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lastRenderedPageBreak/>
        <w:t>为贯彻落实《上海市贯彻〈中共中央　国务院关于深化改革加强食品安全工作的意见〉的实施方案》《上海市国民营养计划（2019—2030年）实施方案》精神，以及《上海市人民政府办公厅关于改革完善医疗卫生行业综合监管制度的实施意见》等要求，进一步规范本市医疗机构特殊医学用途配方食品（以下简称“特医食品”）经营管理，现就本市医疗机构经营特医食品有关要求通知如下：</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黑体" w:eastAsia="黑体" w:hAnsi="黑体" w:hint="eastAsia"/>
          <w:color w:val="000000"/>
          <w:sz w:val="32"/>
          <w:szCs w:val="32"/>
        </w:rPr>
        <w:t>一、充分认识规范医疗机构特医食品经营管理的重要意义</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t>根据《中华人民共和国食品安全法》及其实施条例等规定，国家对特医食品等特殊食品实行严格的监督管理。特医食品应当经国家市场监督管理总局注册，由县级以上人民政府食品安全监督管理部门履行食品安全监督管理职责，消费者须在医生或临床营养师指导下单独食用或与其他食品配合食用。《上海市国民营养计划（2019—2030年）实施方案》明确提出加强临床营养管理，推动特医食品的规范化应用。《2020年上海市医疗卫生行业综合监管工作要点》明确要求加强特医食品等特殊食品安全监管，推进医疗机构特医食品临床应用管理。根据有关规定，医疗机构对本机构特医食品经营管理和临床应用管理承担主体责任，市场监管部门负责医疗机构经营特医食品质量安全的监管，卫生健康行政部门</w:t>
      </w:r>
      <w:r>
        <w:rPr>
          <w:rFonts w:ascii="仿宋" w:eastAsia="仿宋" w:hAnsi="仿宋" w:hint="eastAsia"/>
          <w:color w:val="000000"/>
          <w:sz w:val="32"/>
          <w:szCs w:val="32"/>
        </w:rPr>
        <w:lastRenderedPageBreak/>
        <w:t>负责医疗机构经营特医食品的行业管理和医疗机构特医食品调配、临床应用的管理。</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t>各有关部门要充分认识规范特医食品经营管理的重要意义，根据市委、市政府的部署要求，贯彻落实“人民城市人民建、人民城市为人民”的重要理念，坚持“以人民为中心”和食品安全“四个最严”要求，强化法治意识和责任意识，按照职责分工，密切协调配合，健全工作机制，强化部门协同和上下联动，不断提升本市医疗机构特医食品经营管理水平，维护特医食品经营市场秩序，有效保障人民群众的健康权益。</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黑体" w:eastAsia="黑体" w:hAnsi="黑体" w:hint="eastAsia"/>
          <w:color w:val="000000"/>
          <w:sz w:val="32"/>
          <w:szCs w:val="32"/>
        </w:rPr>
        <w:t>二、明确规范医疗机构特医食品经营管理的工作措施</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楷体" w:eastAsia="楷体" w:hAnsi="楷体" w:hint="eastAsia"/>
          <w:color w:val="000000"/>
          <w:sz w:val="32"/>
          <w:szCs w:val="32"/>
        </w:rPr>
        <w:t>（一）落实医疗机构食品安全主体责任</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t>1．医疗机构销售特医食品中的特定全营养配方食品的，不需要取得食品经营许可，但应当遵守《中华人民共和国食品安全法》《中华人民共和国食品安全法实施条例》关于食品销售的规定。</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t>2．各医疗机构应当认真落实食品安全主体责任，依据相关法律法规和技术规范，建立和完善特医食品供应商评价、进货查验、贮存、销售使用档案、从业人员健康管理、食品安全自查、应急处置等管理制度。</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lastRenderedPageBreak/>
        <w:t>3．各医疗机构应当配备专职或者兼职的食品安全管理人员，食品安全管理人员应当经过食品安全法律、法规等相关知识的培训，经考核合格后上岗。</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t>4．</w:t>
      </w:r>
      <w:r>
        <w:rPr>
          <w:rFonts w:ascii="仿宋" w:eastAsia="仿宋" w:hAnsi="仿宋" w:hint="eastAsia"/>
          <w:color w:val="000000"/>
          <w:spacing w:val="2"/>
          <w:sz w:val="32"/>
          <w:szCs w:val="32"/>
        </w:rPr>
        <w:t>医疗机构配制供病人食用的营养</w:t>
      </w:r>
      <w:proofErr w:type="gramStart"/>
      <w:r>
        <w:rPr>
          <w:rFonts w:ascii="仿宋" w:eastAsia="仿宋" w:hAnsi="仿宋" w:hint="eastAsia"/>
          <w:color w:val="000000"/>
          <w:spacing w:val="2"/>
          <w:sz w:val="32"/>
          <w:szCs w:val="32"/>
        </w:rPr>
        <w:t>餐应当</w:t>
      </w:r>
      <w:proofErr w:type="gramEnd"/>
      <w:r>
        <w:rPr>
          <w:rFonts w:ascii="仿宋" w:eastAsia="仿宋" w:hAnsi="仿宋" w:hint="eastAsia"/>
          <w:color w:val="000000"/>
          <w:spacing w:val="2"/>
          <w:sz w:val="32"/>
          <w:szCs w:val="32"/>
        </w:rPr>
        <w:t>符合特医食品临</w:t>
      </w:r>
      <w:r>
        <w:rPr>
          <w:rFonts w:ascii="仿宋" w:eastAsia="仿宋" w:hAnsi="仿宋" w:hint="eastAsia"/>
          <w:color w:val="000000"/>
          <w:sz w:val="32"/>
          <w:szCs w:val="32"/>
        </w:rPr>
        <w:t>床应用质量控制的有关管理要求。</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楷体" w:eastAsia="楷体" w:hAnsi="楷体" w:hint="eastAsia"/>
          <w:color w:val="000000"/>
          <w:sz w:val="32"/>
          <w:szCs w:val="32"/>
        </w:rPr>
        <w:t>（二）加强行业管理与质量控制</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t>1．</w:t>
      </w:r>
      <w:r>
        <w:rPr>
          <w:rFonts w:ascii="仿宋" w:eastAsia="仿宋" w:hAnsi="仿宋" w:hint="eastAsia"/>
          <w:color w:val="000000"/>
          <w:spacing w:val="-4"/>
          <w:sz w:val="32"/>
          <w:szCs w:val="32"/>
        </w:rPr>
        <w:t>卫生健康行政部门加强医疗机构经营特医食品的管理，严</w:t>
      </w:r>
      <w:r>
        <w:rPr>
          <w:rFonts w:ascii="仿宋" w:eastAsia="仿宋" w:hAnsi="仿宋" w:hint="eastAsia"/>
          <w:color w:val="000000"/>
          <w:sz w:val="32"/>
          <w:szCs w:val="32"/>
        </w:rPr>
        <w:t>格医疗机构采购、贮存、销售特医食品的管理，禁止以普通食品冒充特医食品向病患推荐使用。</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t>2．</w:t>
      </w:r>
      <w:r>
        <w:rPr>
          <w:rFonts w:ascii="仿宋" w:eastAsia="仿宋" w:hAnsi="仿宋" w:hint="eastAsia"/>
          <w:color w:val="000000"/>
          <w:spacing w:val="2"/>
          <w:sz w:val="32"/>
          <w:szCs w:val="32"/>
        </w:rPr>
        <w:t>卫生健康行政部门强化特医食品的营养和食品安全风险</w:t>
      </w:r>
      <w:r>
        <w:rPr>
          <w:rFonts w:ascii="仿宋" w:eastAsia="仿宋" w:hAnsi="仿宋" w:hint="eastAsia"/>
          <w:color w:val="000000"/>
          <w:sz w:val="32"/>
          <w:szCs w:val="32"/>
        </w:rPr>
        <w:t>监测与评估，不断完善行业管理相关制度。</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t>3．卫生健康行政部门加强临床营养等专业质量控制中心建设，加强对特医食品的临床应用管理，促进临床合理使用，保障医疗质量安全。</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楷体" w:eastAsia="楷体" w:hAnsi="楷体" w:hint="eastAsia"/>
          <w:color w:val="000000"/>
          <w:sz w:val="32"/>
          <w:szCs w:val="32"/>
        </w:rPr>
        <w:t>（三）加强食品安全监督管理</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t>1．</w:t>
      </w:r>
      <w:r>
        <w:rPr>
          <w:rFonts w:ascii="仿宋" w:eastAsia="仿宋" w:hAnsi="仿宋" w:hint="eastAsia"/>
          <w:color w:val="000000"/>
          <w:spacing w:val="4"/>
          <w:sz w:val="32"/>
          <w:szCs w:val="32"/>
        </w:rPr>
        <w:t>市场监管部门加强医疗机构特医食品经营环节质量安全</w:t>
      </w:r>
      <w:r>
        <w:rPr>
          <w:rFonts w:ascii="仿宋" w:eastAsia="仿宋" w:hAnsi="仿宋" w:hint="eastAsia"/>
          <w:color w:val="000000"/>
          <w:sz w:val="32"/>
          <w:szCs w:val="32"/>
        </w:rPr>
        <w:t>监管，开展对辖区内医疗机构经营特医食品的监督检查，重点检查医疗机构特医食品进货和贮存等是否符合法律法规和食品安全标准要求，是否存在违规经营、违规宣传疾病预防治疗功能等行为。</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lastRenderedPageBreak/>
        <w:t>2．</w:t>
      </w:r>
      <w:r>
        <w:rPr>
          <w:rFonts w:ascii="仿宋" w:eastAsia="仿宋" w:hAnsi="仿宋" w:hint="eastAsia"/>
          <w:color w:val="000000"/>
          <w:spacing w:val="-4"/>
          <w:sz w:val="32"/>
          <w:szCs w:val="32"/>
        </w:rPr>
        <w:t>市场监管部门与卫生健康行政部门加强协作，根据特医食</w:t>
      </w:r>
      <w:r>
        <w:rPr>
          <w:rFonts w:ascii="仿宋" w:eastAsia="仿宋" w:hAnsi="仿宋" w:hint="eastAsia"/>
          <w:color w:val="000000"/>
          <w:sz w:val="32"/>
          <w:szCs w:val="32"/>
        </w:rPr>
        <w:t>品风险监测和抽检情况，对发现的不符合食品安全标准的特医食品，及时协作采取风险控制措施。</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黑体" w:eastAsia="黑体" w:hAnsi="黑体" w:hint="eastAsia"/>
          <w:color w:val="000000"/>
          <w:sz w:val="32"/>
          <w:szCs w:val="32"/>
        </w:rPr>
        <w:t>三、有关工作要求</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楷体" w:eastAsia="楷体" w:hAnsi="楷体" w:hint="eastAsia"/>
          <w:color w:val="000000"/>
          <w:sz w:val="32"/>
          <w:szCs w:val="32"/>
        </w:rPr>
        <w:t>（一）完善工作机制</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t>各级市场监管部门与卫生健康行政部门要加强沟通协调，协同推进落实医疗卫生行业综合监管关于特医食品的相关要求和相关法律法规关于特医食品安全监管的规定。充分发挥医疗卫生行业管理和市临床营养质量控制中心等机构的指导作用，推进本市临床营养质量控制工作，加强本市医疗机构特医食品经营与临床规范化应用管理。</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楷体" w:eastAsia="楷体" w:hAnsi="楷体" w:hint="eastAsia"/>
          <w:color w:val="000000"/>
          <w:sz w:val="32"/>
          <w:szCs w:val="32"/>
        </w:rPr>
        <w:t>（二）抓好责任落实</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t>各级市场监管部门与卫生健康行政部门要加强统筹协调，细化具体措施。依托医疗卫生行业综合监管会商机制等，组织开展特医食品经营管理和临床应用情况的检查指导。依托医疗机构质量控制考核机制等，进一步督促医疗机构落实主体责任，规范特医经营管理。加强信息互通、监管合作，探索构建对特医食品安全领域违法行为的联合惩戒机制。</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楷体" w:eastAsia="楷体" w:hAnsi="楷体" w:hint="eastAsia"/>
          <w:color w:val="000000"/>
          <w:sz w:val="32"/>
          <w:szCs w:val="32"/>
        </w:rPr>
        <w:t>（三）加强宣传引导</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t>各级市场监管部门与卫生健康行政部门要加强对市场监管人员和医务人员的培训指导，明确医疗机构特医食品的食品安全监管和临床应用管理要求。加强对患者和市民的科普</w:t>
      </w:r>
      <w:r>
        <w:rPr>
          <w:rFonts w:ascii="仿宋" w:eastAsia="仿宋" w:hAnsi="仿宋" w:hint="eastAsia"/>
          <w:color w:val="000000"/>
          <w:sz w:val="32"/>
          <w:szCs w:val="32"/>
        </w:rPr>
        <w:lastRenderedPageBreak/>
        <w:t>宣传，推动营养健康科普宣教活动常态化，提高特医食品科学认知水平，保障人民群众健康权益。</w:t>
      </w:r>
    </w:p>
    <w:p w:rsidR="00BC4924" w:rsidRDefault="00BC4924" w:rsidP="00BC4924">
      <w:pPr>
        <w:pStyle w:val="a5"/>
        <w:shd w:val="clear" w:color="auto" w:fill="FFFFFF"/>
        <w:spacing w:before="0" w:beforeAutospacing="0" w:after="0" w:afterAutospacing="0" w:line="226" w:lineRule="atLeast"/>
        <w:ind w:firstLine="624"/>
        <w:jc w:val="both"/>
        <w:rPr>
          <w:rFonts w:ascii="仿宋" w:eastAsia="仿宋" w:hAnsi="仿宋" w:hint="eastAsia"/>
          <w:color w:val="000000"/>
          <w:sz w:val="32"/>
          <w:szCs w:val="32"/>
        </w:rPr>
      </w:pPr>
      <w:r>
        <w:rPr>
          <w:rFonts w:hint="eastAsia"/>
          <w:color w:val="000000"/>
          <w:sz w:val="32"/>
          <w:szCs w:val="32"/>
        </w:rPr>
        <w:t> </w:t>
      </w:r>
    </w:p>
    <w:p w:rsidR="00BC4924" w:rsidRDefault="00BC4924" w:rsidP="00BC4924">
      <w:pPr>
        <w:pStyle w:val="a5"/>
        <w:shd w:val="clear" w:color="auto" w:fill="FFFFFF"/>
        <w:spacing w:before="0" w:beforeAutospacing="0" w:after="0" w:afterAutospacing="0" w:line="226" w:lineRule="atLeast"/>
        <w:ind w:firstLine="624"/>
        <w:jc w:val="both"/>
        <w:rPr>
          <w:rFonts w:ascii="仿宋" w:eastAsia="仿宋" w:hAnsi="仿宋" w:hint="eastAsia"/>
          <w:color w:val="000000"/>
          <w:sz w:val="32"/>
          <w:szCs w:val="32"/>
        </w:rPr>
      </w:pPr>
      <w:r>
        <w:rPr>
          <w:rFonts w:hint="eastAsia"/>
          <w:color w:val="000000"/>
          <w:sz w:val="32"/>
          <w:szCs w:val="32"/>
        </w:rPr>
        <w:t> </w:t>
      </w:r>
    </w:p>
    <w:p w:rsidR="00BC4924" w:rsidRDefault="00BC4924" w:rsidP="00BC4924">
      <w:pPr>
        <w:pStyle w:val="a5"/>
        <w:shd w:val="clear" w:color="auto" w:fill="FFFFFF"/>
        <w:spacing w:before="0" w:beforeAutospacing="0" w:after="0" w:afterAutospacing="0" w:line="226" w:lineRule="atLeast"/>
        <w:ind w:firstLine="624"/>
        <w:jc w:val="both"/>
        <w:rPr>
          <w:rFonts w:ascii="仿宋" w:eastAsia="仿宋" w:hAnsi="仿宋" w:hint="eastAsia"/>
          <w:color w:val="000000"/>
          <w:sz w:val="32"/>
          <w:szCs w:val="32"/>
        </w:rPr>
      </w:pPr>
      <w:r>
        <w:rPr>
          <w:rFonts w:hint="eastAsia"/>
          <w:color w:val="000000"/>
          <w:sz w:val="32"/>
          <w:szCs w:val="32"/>
        </w:rPr>
        <w:t> </w:t>
      </w:r>
    </w:p>
    <w:p w:rsidR="00BC4924" w:rsidRDefault="00BC4924" w:rsidP="00BC4924">
      <w:pPr>
        <w:pStyle w:val="a5"/>
        <w:shd w:val="clear" w:color="auto" w:fill="FFFFFF"/>
        <w:spacing w:before="0" w:beforeAutospacing="0" w:after="0" w:afterAutospacing="0" w:line="264" w:lineRule="atLeast"/>
        <w:ind w:right="941" w:firstLine="624"/>
        <w:jc w:val="right"/>
        <w:rPr>
          <w:rFonts w:ascii="仿宋" w:eastAsia="仿宋" w:hAnsi="仿宋" w:hint="eastAsia"/>
          <w:color w:val="000000"/>
          <w:sz w:val="32"/>
          <w:szCs w:val="32"/>
        </w:rPr>
      </w:pPr>
      <w:r>
        <w:rPr>
          <w:rFonts w:ascii="仿宋" w:eastAsia="仿宋" w:hAnsi="仿宋" w:hint="eastAsia"/>
          <w:color w:val="000000"/>
          <w:sz w:val="32"/>
          <w:szCs w:val="32"/>
        </w:rPr>
        <w:t>上海市市场监督管理局</w:t>
      </w:r>
      <w:r>
        <w:rPr>
          <w:rFonts w:hint="eastAsia"/>
          <w:color w:val="000000"/>
          <w:sz w:val="32"/>
          <w:szCs w:val="32"/>
        </w:rPr>
        <w:t>     </w:t>
      </w:r>
      <w:r>
        <w:rPr>
          <w:rFonts w:ascii="仿宋" w:eastAsia="仿宋" w:hAnsi="仿宋" w:cs="仿宋" w:hint="eastAsia"/>
          <w:color w:val="000000"/>
          <w:sz w:val="32"/>
          <w:szCs w:val="32"/>
        </w:rPr>
        <w:t xml:space="preserve"> </w:t>
      </w:r>
      <w:r>
        <w:rPr>
          <w:rFonts w:ascii="仿宋" w:eastAsia="仿宋" w:hAnsi="仿宋" w:hint="eastAsia"/>
          <w:color w:val="000000"/>
          <w:sz w:val="32"/>
          <w:szCs w:val="32"/>
        </w:rPr>
        <w:t>上海市卫生健康委员会</w:t>
      </w:r>
    </w:p>
    <w:p w:rsidR="00BC4924" w:rsidRDefault="00BC4924" w:rsidP="00BC4924">
      <w:pPr>
        <w:pStyle w:val="a5"/>
        <w:shd w:val="clear" w:color="auto" w:fill="FFFFFF"/>
        <w:spacing w:before="0" w:beforeAutospacing="0" w:after="0" w:afterAutospacing="0" w:line="264" w:lineRule="atLeast"/>
        <w:ind w:right="1247" w:firstLine="624"/>
        <w:jc w:val="right"/>
        <w:rPr>
          <w:rFonts w:ascii="仿宋" w:eastAsia="仿宋" w:hAnsi="仿宋" w:hint="eastAsia"/>
          <w:color w:val="000000"/>
          <w:sz w:val="32"/>
          <w:szCs w:val="32"/>
        </w:rPr>
      </w:pPr>
      <w:r>
        <w:rPr>
          <w:rFonts w:ascii="仿宋" w:eastAsia="仿宋" w:hAnsi="仿宋" w:hint="eastAsia"/>
          <w:color w:val="000000"/>
          <w:sz w:val="32"/>
          <w:szCs w:val="32"/>
        </w:rPr>
        <w:t>2021年1月12日</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ascii="仿宋" w:eastAsia="仿宋" w:hAnsi="仿宋" w:hint="eastAsia"/>
          <w:color w:val="000000"/>
          <w:sz w:val="32"/>
          <w:szCs w:val="32"/>
        </w:rPr>
        <w:t>（此件公开发布）</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hint="eastAsia"/>
          <w:color w:val="000000"/>
          <w:sz w:val="32"/>
          <w:szCs w:val="32"/>
        </w:rPr>
        <w:t> </w:t>
      </w:r>
    </w:p>
    <w:p w:rsidR="00BC4924" w:rsidRDefault="00BC4924" w:rsidP="00BC4924">
      <w:pPr>
        <w:pStyle w:val="a5"/>
        <w:shd w:val="clear" w:color="auto" w:fill="FFFFFF"/>
        <w:spacing w:before="0" w:beforeAutospacing="0" w:after="0" w:afterAutospacing="0" w:line="264" w:lineRule="atLeast"/>
        <w:ind w:firstLine="624"/>
        <w:jc w:val="both"/>
        <w:rPr>
          <w:rFonts w:ascii="仿宋" w:eastAsia="仿宋" w:hAnsi="仿宋" w:hint="eastAsia"/>
          <w:color w:val="000000"/>
          <w:sz w:val="32"/>
          <w:szCs w:val="32"/>
        </w:rPr>
      </w:pPr>
      <w:r>
        <w:rPr>
          <w:rFonts w:hint="eastAsia"/>
          <w:color w:val="000000"/>
          <w:sz w:val="32"/>
          <w:szCs w:val="32"/>
        </w:rPr>
        <w:t> </w:t>
      </w:r>
    </w:p>
    <w:p w:rsidR="00B60D39" w:rsidRPr="00BC4924" w:rsidRDefault="00B60D39"/>
    <w:sectPr w:rsidR="00B60D39" w:rsidRPr="00BC4924" w:rsidSect="00B60D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95C" w:rsidRDefault="00AE295C" w:rsidP="00BC4924">
      <w:r>
        <w:separator/>
      </w:r>
    </w:p>
  </w:endnote>
  <w:endnote w:type="continuationSeparator" w:id="0">
    <w:p w:rsidR="00AE295C" w:rsidRDefault="00AE295C" w:rsidP="00BC49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95C" w:rsidRDefault="00AE295C" w:rsidP="00BC4924">
      <w:r>
        <w:separator/>
      </w:r>
    </w:p>
  </w:footnote>
  <w:footnote w:type="continuationSeparator" w:id="0">
    <w:p w:rsidR="00AE295C" w:rsidRDefault="00AE295C" w:rsidP="00BC49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C4924"/>
    <w:rsid w:val="00AE295C"/>
    <w:rsid w:val="00B60D39"/>
    <w:rsid w:val="00BC49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D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49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4924"/>
    <w:rPr>
      <w:sz w:val="18"/>
      <w:szCs w:val="18"/>
    </w:rPr>
  </w:style>
  <w:style w:type="paragraph" w:styleId="a4">
    <w:name w:val="footer"/>
    <w:basedOn w:val="a"/>
    <w:link w:val="Char0"/>
    <w:uiPriority w:val="99"/>
    <w:semiHidden/>
    <w:unhideWhenUsed/>
    <w:rsid w:val="00BC49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4924"/>
    <w:rPr>
      <w:sz w:val="18"/>
      <w:szCs w:val="18"/>
    </w:rPr>
  </w:style>
  <w:style w:type="paragraph" w:styleId="a5">
    <w:name w:val="Normal (Web)"/>
    <w:basedOn w:val="a"/>
    <w:uiPriority w:val="99"/>
    <w:semiHidden/>
    <w:unhideWhenUsed/>
    <w:rsid w:val="00BC4924"/>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BC4924"/>
    <w:rPr>
      <w:sz w:val="18"/>
      <w:szCs w:val="18"/>
    </w:rPr>
  </w:style>
  <w:style w:type="character" w:customStyle="1" w:styleId="Char1">
    <w:name w:val="批注框文本 Char"/>
    <w:basedOn w:val="a0"/>
    <w:link w:val="a6"/>
    <w:uiPriority w:val="99"/>
    <w:semiHidden/>
    <w:rsid w:val="00BC4924"/>
    <w:rPr>
      <w:sz w:val="18"/>
      <w:szCs w:val="18"/>
    </w:rPr>
  </w:style>
</w:styles>
</file>

<file path=word/webSettings.xml><?xml version="1.0" encoding="utf-8"?>
<w:webSettings xmlns:r="http://schemas.openxmlformats.org/officeDocument/2006/relationships" xmlns:w="http://schemas.openxmlformats.org/wordprocessingml/2006/main">
  <w:divs>
    <w:div w:id="17099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1081</Characters>
  <Application>Microsoft Office Word</Application>
  <DocSecurity>0</DocSecurity>
  <Lines>67</Lines>
  <Paragraphs>39</Paragraphs>
  <ScaleCrop>false</ScaleCrop>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2021-02-01T02:22:00Z</dcterms:created>
  <dcterms:modified xsi:type="dcterms:W3CDTF">2021-02-01T02:22:00Z</dcterms:modified>
</cp:coreProperties>
</file>