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8"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eastAsia="zh-CN"/>
              </w:rPr>
            </w:pPr>
            <w:r>
              <w:rPr>
                <w:rFonts w:hint="eastAsia" w:ascii="黑体" w:hAnsi="黑体" w:eastAsia="黑体" w:cs="宋体"/>
                <w:kern w:val="0"/>
                <w:sz w:val="24"/>
                <w:szCs w:val="24"/>
              </w:rPr>
              <w:t>202</w:t>
            </w:r>
            <w:r>
              <w:rPr>
                <w:rFonts w:ascii="黑体" w:hAnsi="黑体" w:eastAsia="黑体" w:cs="宋体"/>
                <w:kern w:val="0"/>
                <w:sz w:val="24"/>
                <w:szCs w:val="24"/>
              </w:rPr>
              <w:t>1</w:t>
            </w:r>
            <w:r>
              <w:rPr>
                <w:rFonts w:hint="eastAsia" w:ascii="黑体" w:hAnsi="黑体" w:eastAsia="黑体" w:cs="宋体"/>
                <w:kern w:val="0"/>
                <w:sz w:val="24"/>
                <w:szCs w:val="24"/>
              </w:rPr>
              <w:t>年</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等线" w:cs="宋体" w:asciiTheme="minorAscii" w:hAnsiTheme="minorAscii"/>
                <w:kern w:val="0"/>
                <w:sz w:val="28"/>
                <w:szCs w:val="28"/>
              </w:rPr>
            </w:pPr>
          </w:p>
        </w:tc>
        <w:tc>
          <w:tcPr>
            <w:tcW w:w="1719"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（亿元）</w:t>
            </w:r>
          </w:p>
        </w:tc>
        <w:tc>
          <w:tcPr>
            <w:tcW w:w="2007" w:type="dxa"/>
            <w:tcBorders>
              <w:top w:val="single" w:color="auto" w:sz="8" w:space="0"/>
              <w:left w:val="single" w:color="auto" w:sz="8" w:space="0"/>
              <w:bottom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地区生产总值</w:t>
            </w:r>
          </w:p>
        </w:tc>
        <w:tc>
          <w:tcPr>
            <w:tcW w:w="1719"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sz w:val="28"/>
                <w:szCs w:val="28"/>
              </w:rPr>
            </w:pPr>
            <w:r>
              <w:rPr>
                <w:rFonts w:hint="default" w:eastAsia="宋体" w:cs="宋体" w:asciiTheme="minorAscii" w:hAnsiTheme="minorAscii"/>
                <w:i w:val="0"/>
                <w:color w:val="000000"/>
                <w:kern w:val="0"/>
                <w:sz w:val="28"/>
                <w:szCs w:val="28"/>
                <w:u w:val="none"/>
                <w:lang w:val="en-US" w:eastAsia="zh-CN" w:bidi="ar"/>
              </w:rPr>
              <w:t>43214.85</w:t>
            </w:r>
          </w:p>
        </w:tc>
        <w:tc>
          <w:tcPr>
            <w:tcW w:w="2007" w:type="dxa"/>
            <w:tcBorders>
              <w:top w:val="single" w:color="auto" w:sz="8" w:space="0"/>
              <w:left w:val="single" w:color="auto" w:sz="8" w:space="0"/>
              <w:bottom w:val="single" w:color="auto" w:sz="8"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sz w:val="28"/>
                <w:szCs w:val="28"/>
              </w:rPr>
            </w:pPr>
            <w:r>
              <w:rPr>
                <w:rFonts w:hint="default" w:eastAsia="宋体" w:cs="宋体" w:asciiTheme="minorAscii" w:hAnsiTheme="minorAscii"/>
                <w:i w:val="0"/>
                <w:color w:val="000000"/>
                <w:kern w:val="0"/>
                <w:sz w:val="28"/>
                <w:szCs w:val="28"/>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按产业分</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textAlignment w:val="auto"/>
              <w:rPr>
                <w:rFonts w:hint="default" w:asciiTheme="minorAscii" w:hAnsiTheme="minorAscii"/>
                <w:sz w:val="28"/>
                <w:szCs w:val="28"/>
              </w:rPr>
            </w:pP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textAlignment w:val="auto"/>
              <w:rPr>
                <w:rFonts w:hint="default" w:asciiTheme="minorAscii" w:hAnsiTheme="minorAsci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第一产业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eastAsiaTheme="minorEastAsia" w:cstheme="minorBidi"/>
                <w:kern w:val="2"/>
                <w:sz w:val="28"/>
                <w:szCs w:val="28"/>
                <w:lang w:val="en-US" w:eastAsia="zh-CN" w:bidi="ar-SA"/>
              </w:rPr>
            </w:pPr>
            <w:r>
              <w:rPr>
                <w:rFonts w:hint="default" w:eastAsia="宋体" w:cs="宋体" w:asciiTheme="minorAscii" w:hAnsiTheme="minorAscii"/>
                <w:i w:val="0"/>
                <w:color w:val="000000"/>
                <w:kern w:val="0"/>
                <w:sz w:val="28"/>
                <w:szCs w:val="28"/>
                <w:u w:val="none"/>
                <w:lang w:val="en-US" w:eastAsia="zh-CN" w:bidi="ar"/>
              </w:rPr>
              <w:t>99.97</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eastAsiaTheme="minorEastAsia" w:cstheme="minorBidi"/>
                <w:kern w:val="2"/>
                <w:sz w:val="28"/>
                <w:szCs w:val="28"/>
                <w:lang w:val="en-US" w:eastAsia="zh-CN" w:bidi="ar-SA"/>
              </w:rPr>
            </w:pPr>
            <w:r>
              <w:rPr>
                <w:rFonts w:hint="default" w:eastAsia="宋体" w:cs="宋体" w:asciiTheme="minorAscii" w:hAnsiTheme="minorAscii"/>
                <w:i w:val="0"/>
                <w:color w:val="000000"/>
                <w:kern w:val="0"/>
                <w:sz w:val="28"/>
                <w:szCs w:val="28"/>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第二产业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eastAsiaTheme="minorEastAsia" w:cstheme="minorBidi"/>
                <w:kern w:val="2"/>
                <w:sz w:val="28"/>
                <w:szCs w:val="28"/>
                <w:lang w:val="en-US" w:eastAsia="zh-CN" w:bidi="ar-SA"/>
              </w:rPr>
            </w:pPr>
            <w:r>
              <w:rPr>
                <w:rFonts w:hint="default" w:eastAsia="宋体" w:cs="宋体" w:asciiTheme="minorAscii" w:hAnsiTheme="minorAscii"/>
                <w:i w:val="0"/>
                <w:color w:val="000000"/>
                <w:kern w:val="0"/>
                <w:sz w:val="28"/>
                <w:szCs w:val="28"/>
                <w:u w:val="none"/>
                <w:lang w:val="en-US" w:eastAsia="zh-CN" w:bidi="ar"/>
              </w:rPr>
              <w:t>11449.32</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eastAsiaTheme="minorEastAsia" w:cstheme="minorBidi"/>
                <w:kern w:val="2"/>
                <w:sz w:val="28"/>
                <w:szCs w:val="28"/>
                <w:lang w:val="en-US" w:eastAsia="zh-CN" w:bidi="ar-SA"/>
              </w:rPr>
            </w:pPr>
            <w:r>
              <w:rPr>
                <w:rFonts w:hint="default" w:eastAsia="宋体" w:cs="宋体" w:asciiTheme="minorAscii" w:hAnsiTheme="minorAscii"/>
                <w:i w:val="0"/>
                <w:color w:val="000000"/>
                <w:kern w:val="0"/>
                <w:sz w:val="28"/>
                <w:szCs w:val="28"/>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第三产业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eastAsiaTheme="minorEastAsia" w:cstheme="minorBidi"/>
                <w:kern w:val="2"/>
                <w:sz w:val="28"/>
                <w:szCs w:val="28"/>
                <w:lang w:val="en-US" w:eastAsia="zh-CN" w:bidi="ar-SA"/>
              </w:rPr>
            </w:pPr>
            <w:r>
              <w:rPr>
                <w:rFonts w:hint="default" w:eastAsia="宋体" w:cs="宋体" w:asciiTheme="minorAscii" w:hAnsiTheme="minorAscii"/>
                <w:i w:val="0"/>
                <w:color w:val="000000"/>
                <w:kern w:val="0"/>
                <w:sz w:val="28"/>
                <w:szCs w:val="28"/>
                <w:u w:val="none"/>
                <w:lang w:val="en-US" w:eastAsia="zh-CN" w:bidi="ar"/>
              </w:rPr>
              <w:t>31665.56</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eastAsiaTheme="minorEastAsia" w:cstheme="minorBidi"/>
                <w:kern w:val="2"/>
                <w:sz w:val="28"/>
                <w:szCs w:val="28"/>
                <w:lang w:val="en-US" w:eastAsia="zh-CN" w:bidi="ar-SA"/>
              </w:rPr>
            </w:pPr>
            <w:r>
              <w:rPr>
                <w:rFonts w:hint="default" w:eastAsia="宋体" w:cs="宋体" w:asciiTheme="minorAscii" w:hAnsiTheme="minorAscii"/>
                <w:i w:val="0"/>
                <w:color w:val="000000"/>
                <w:kern w:val="0"/>
                <w:sz w:val="28"/>
                <w:szCs w:val="28"/>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按行业分</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sz w:val="28"/>
                <w:szCs w:val="28"/>
              </w:rPr>
            </w:pP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asciiTheme="minorAscii" w:hAnsiTheme="minorAsci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 工业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10738.80</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建筑业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798.49</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批发和零售业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5554.03</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交通运输、仓储和邮政业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1843.46</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住宿和餐饮业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399.31</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信息传输、软件和信息技术服务业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3392.88</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金融业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7973.25</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房地产业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3564.49</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8" w:space="0"/>
              <w:bottom w:val="single" w:color="auto" w:sz="8"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等线" w:cs="宋体" w:asciiTheme="minorAscii" w:hAnsiTheme="minorAscii"/>
                <w:kern w:val="0"/>
                <w:sz w:val="28"/>
                <w:szCs w:val="28"/>
              </w:rPr>
            </w:pPr>
            <w:r>
              <w:rPr>
                <w:rFonts w:hint="default" w:eastAsia="等线" w:cs="宋体" w:asciiTheme="minorAscii" w:hAnsiTheme="minorAscii"/>
                <w:kern w:val="0"/>
                <w:sz w:val="28"/>
                <w:szCs w:val="28"/>
              </w:rPr>
              <w:t xml:space="preserve">      租赁和商务服务业</w:t>
            </w:r>
          </w:p>
        </w:tc>
        <w:tc>
          <w:tcPr>
            <w:tcW w:w="171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2750.66</w:t>
            </w:r>
          </w:p>
        </w:tc>
        <w:tc>
          <w:tcPr>
            <w:tcW w:w="2007" w:type="dxa"/>
            <w:tcBorders>
              <w:top w:val="single" w:color="auto" w:sz="8" w:space="0"/>
              <w:left w:val="single" w:color="auto" w:sz="8" w:space="0"/>
              <w:bottom w:val="single" w:color="auto"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auto"/>
              <w:rPr>
                <w:rFonts w:hint="default" w:eastAsia="宋体" w:cs="宋体" w:asciiTheme="minorAscii" w:hAnsiTheme="minorAscii"/>
                <w:i w:val="0"/>
                <w:color w:val="000000"/>
                <w:kern w:val="0"/>
                <w:sz w:val="28"/>
                <w:szCs w:val="28"/>
                <w:u w:val="none"/>
                <w:lang w:val="en-US" w:eastAsia="zh-CN" w:bidi="ar"/>
              </w:rPr>
            </w:pPr>
            <w:r>
              <w:rPr>
                <w:rFonts w:hint="eastAsia" w:eastAsia="宋体" w:cs="宋体" w:asciiTheme="minorAscii" w:hAnsiTheme="minorAscii"/>
                <w:i w:val="0"/>
                <w:color w:val="000000"/>
                <w:kern w:val="0"/>
                <w:sz w:val="28"/>
                <w:szCs w:val="28"/>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op w:val="single" w:color="auto" w:sz="8"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hint="eastAsia" w:eastAsia="宋体" w:cs="宋体" w:asciiTheme="minorAscii" w:hAnsiTheme="minorAscii"/>
                <w:i w:val="0"/>
                <w:color w:val="000000"/>
                <w:kern w:val="0"/>
                <w:sz w:val="28"/>
                <w:szCs w:val="28"/>
                <w:u w:val="none"/>
                <w:lang w:val="en-US" w:eastAsia="zh-CN" w:bidi="ar"/>
              </w:rPr>
            </w:pPr>
            <w:r>
              <w:rPr>
                <w:rFonts w:hint="eastAsia" w:ascii="仿宋_GB2312" w:eastAsia="仿宋_GB2312"/>
                <w:sz w:val="28"/>
                <w:szCs w:val="28"/>
              </w:rPr>
              <w:t>注：按照我国地区生产总值统一核算和数据发布制度规定，地区生产总值核算包括初步核算和最终核实两个步骤。经最终核实，20</w:t>
            </w:r>
            <w:r>
              <w:rPr>
                <w:rFonts w:hint="eastAsia" w:ascii="仿宋_GB2312" w:eastAsia="仿宋_GB2312"/>
                <w:sz w:val="28"/>
                <w:szCs w:val="28"/>
                <w:lang w:val="en-US" w:eastAsia="zh-CN"/>
              </w:rPr>
              <w:t>20</w:t>
            </w:r>
            <w:r>
              <w:rPr>
                <w:rFonts w:hint="eastAsia" w:ascii="仿宋_GB2312" w:eastAsia="仿宋_GB2312"/>
                <w:sz w:val="28"/>
                <w:szCs w:val="28"/>
              </w:rPr>
              <w:t>年，上海地区生产总值现价总量为38963.3亿元，按可比价格计算，比上年增长</w:t>
            </w:r>
            <w:r>
              <w:rPr>
                <w:rFonts w:hint="eastAsia" w:ascii="仿宋_GB2312" w:eastAsia="仿宋_GB2312"/>
                <w:sz w:val="28"/>
                <w:szCs w:val="28"/>
                <w:lang w:val="en-US" w:eastAsia="zh-CN"/>
              </w:rPr>
              <w:t>1.7</w:t>
            </w:r>
            <w:r>
              <w:rPr>
                <w:rFonts w:hint="eastAsia" w:ascii="仿宋_GB2312" w:eastAsia="仿宋_GB2312"/>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2C643D"/>
    <w:rsid w:val="005200D2"/>
    <w:rsid w:val="005615CD"/>
    <w:rsid w:val="00695006"/>
    <w:rsid w:val="00736837"/>
    <w:rsid w:val="00827504"/>
    <w:rsid w:val="008870EA"/>
    <w:rsid w:val="008B4640"/>
    <w:rsid w:val="009A44B6"/>
    <w:rsid w:val="00C514F3"/>
    <w:rsid w:val="2B963A71"/>
    <w:rsid w:val="376A53C8"/>
    <w:rsid w:val="3DFAE82E"/>
    <w:rsid w:val="4FF65AFF"/>
    <w:rsid w:val="4FFEAB3E"/>
    <w:rsid w:val="678F2DAC"/>
    <w:rsid w:val="6FCBC42D"/>
    <w:rsid w:val="7FDCC7DB"/>
    <w:rsid w:val="ACEF9CC7"/>
    <w:rsid w:val="B54C17A0"/>
    <w:rsid w:val="C3FDAD6E"/>
    <w:rsid w:val="EFAFF00E"/>
    <w:rsid w:val="F1FFD4FB"/>
    <w:rsid w:val="F72E750E"/>
    <w:rsid w:val="F73FF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Pages>
  <Words>120</Words>
  <Characters>686</Characters>
  <Lines>5</Lines>
  <Paragraphs>1</Paragraphs>
  <TotalTime>2</TotalTime>
  <ScaleCrop>false</ScaleCrop>
  <LinksUpToDate>false</LinksUpToDate>
  <CharactersWithSpaces>805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2021-04-24T05:43:00Z</dcterms:created>
  <dc:creator>admin</dc:creator>
  <cp:lastModifiedBy>user</cp:lastModifiedBy>
  <dcterms:modified xsi:type="dcterms:W3CDTF">2022-01-21T14:19:09Z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