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附表1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生鲜乳质量安全监督抽查不合格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产品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核查处置情况表</w:t>
      </w:r>
    </w:p>
    <w:tbl>
      <w:tblPr>
        <w:tblStyle w:val="4"/>
        <w:tblpPr w:leftFromText="180" w:rightFromText="180" w:vertAnchor="text" w:horzAnchor="margin" w:tblpXSpec="center" w:tblpY="320"/>
        <w:tblW w:w="10268" w:type="dxa"/>
        <w:tblInd w:w="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798"/>
        <w:gridCol w:w="2520"/>
        <w:gridCol w:w="1365"/>
        <w:gridCol w:w="1785"/>
        <w:gridCol w:w="11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6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收到检验报告日期</w:t>
            </w:r>
          </w:p>
        </w:tc>
        <w:tc>
          <w:tcPr>
            <w:tcW w:w="17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gridSpan w:val="2"/>
            <w:vAlign w:val="top"/>
          </w:tcPr>
          <w:p>
            <w:pPr>
              <w:widowControl/>
              <w:spacing w:line="32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启动核查处置日期</w:t>
            </w:r>
          </w:p>
        </w:tc>
        <w:tc>
          <w:tcPr>
            <w:tcW w:w="2904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负责核查处置部门</w:t>
            </w:r>
          </w:p>
        </w:tc>
        <w:tc>
          <w:tcPr>
            <w:tcW w:w="17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处置状态（未启动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已部署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已采取处置措施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处置完毕）</w:t>
            </w:r>
          </w:p>
        </w:tc>
        <w:tc>
          <w:tcPr>
            <w:tcW w:w="13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处置完毕日期（未处置完毕可暂不填）</w:t>
            </w:r>
          </w:p>
        </w:tc>
        <w:tc>
          <w:tcPr>
            <w:tcW w:w="111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6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产品控制情况</w:t>
            </w:r>
          </w:p>
        </w:tc>
        <w:tc>
          <w:tcPr>
            <w:tcW w:w="8587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20" w:lineRule="exact"/>
              <w:ind w:left="88" w:hanging="88" w:hangingChars="49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1.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暂停生产、销售不合格</w:t>
            </w:r>
            <w:r>
              <w:rPr>
                <w:rFonts w:hint="eastAsia" w:hAnsi="Helvetica"/>
                <w:bCs/>
                <w:kern w:val="0"/>
                <w:sz w:val="18"/>
                <w:szCs w:val="18"/>
              </w:rPr>
              <w:t>产品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：</w:t>
            </w:r>
            <w:r>
              <w:rPr>
                <w:bCs/>
                <w:kern w:val="0"/>
                <w:sz w:val="18"/>
                <w:szCs w:val="18"/>
              </w:rPr>
              <w:t>_____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</w:t>
            </w:r>
          </w:p>
          <w:p>
            <w:pPr>
              <w:widowControl/>
              <w:spacing w:line="320" w:lineRule="exact"/>
              <w:ind w:left="88" w:hanging="88" w:hangingChars="49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封存不合格或问题产品：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</w:t>
            </w:r>
          </w:p>
          <w:p>
            <w:pPr>
              <w:widowControl/>
              <w:spacing w:line="320" w:lineRule="exact"/>
              <w:ind w:left="88" w:hanging="88" w:hangingChars="49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召回不合格或问题产品：</w:t>
            </w:r>
            <w:r>
              <w:rPr>
                <w:bCs/>
                <w:kern w:val="0"/>
                <w:sz w:val="18"/>
                <w:szCs w:val="18"/>
              </w:rPr>
              <w:t>_____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。（填是或否）</w:t>
            </w:r>
          </w:p>
          <w:p>
            <w:pPr>
              <w:widowControl/>
              <w:spacing w:line="320" w:lineRule="exact"/>
              <w:ind w:left="88" w:hanging="88" w:hangingChars="49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2.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生产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公斤，货值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元；已销售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公斤，货值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元。</w:t>
            </w:r>
          </w:p>
          <w:p>
            <w:pPr>
              <w:widowControl/>
              <w:spacing w:line="320" w:lineRule="exact"/>
              <w:ind w:left="88" w:hanging="88" w:hangingChars="49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3.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封存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公斤，货值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元；召回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公斤，货值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元。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6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排查整改复查</w:t>
            </w:r>
          </w:p>
        </w:tc>
        <w:tc>
          <w:tcPr>
            <w:tcW w:w="8587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1.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排查原因：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MS Gothic"/>
                <w:bCs/>
                <w:kern w:val="0"/>
                <w:sz w:val="18"/>
                <w:szCs w:val="18"/>
              </w:rPr>
              <w:t> 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问题原因：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widowControl/>
              <w:spacing w:line="320" w:lineRule="exact"/>
              <w:ind w:firstLine="90" w:firstLineChars="50"/>
              <w:jc w:val="left"/>
              <w:rPr>
                <w:bCs/>
                <w:kern w:val="0"/>
                <w:sz w:val="18"/>
                <w:szCs w:val="18"/>
                <w:u w:val="single"/>
              </w:rPr>
            </w:pP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            </w:t>
            </w:r>
          </w:p>
          <w:p>
            <w:pPr>
              <w:widowControl/>
              <w:spacing w:line="320" w:lineRule="exact"/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2.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责令整改：</w:t>
            </w:r>
            <w:r>
              <w:rPr>
                <w:bCs/>
                <w:kern w:val="0"/>
                <w:sz w:val="18"/>
                <w:szCs w:val="18"/>
              </w:rPr>
              <w:t>_____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；（填是或否）整改时间：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（开始）至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（结束）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eastAsia="MS Gothic"/>
                <w:bCs/>
                <w:kern w:val="0"/>
                <w:sz w:val="18"/>
                <w:szCs w:val="18"/>
              </w:rPr>
              <w:t> 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整改措施：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widowControl/>
              <w:spacing w:line="320" w:lineRule="exact"/>
              <w:ind w:firstLine="180" w:firstLineChars="100"/>
              <w:jc w:val="left"/>
              <w:rPr>
                <w:bCs/>
                <w:kern w:val="0"/>
                <w:sz w:val="18"/>
                <w:szCs w:val="18"/>
                <w:u w:val="single"/>
              </w:rPr>
            </w:pP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          </w:t>
            </w:r>
          </w:p>
          <w:p>
            <w:pPr>
              <w:widowControl/>
              <w:spacing w:line="320" w:lineRule="exact"/>
              <w:jc w:val="left"/>
              <w:rPr>
                <w:rFonts w:hAnsi="Helvetic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3.</w:t>
            </w:r>
            <w:r>
              <w:rPr>
                <w:rFonts w:hint="eastAsia" w:hAnsi="Helvetica"/>
                <w:bCs/>
                <w:kern w:val="0"/>
                <w:sz w:val="18"/>
                <w:szCs w:val="18"/>
              </w:rPr>
              <w:t>整改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；（填是或否），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eastAsia="MS Gothic"/>
                <w:bCs/>
                <w:kern w:val="0"/>
                <w:sz w:val="18"/>
                <w:szCs w:val="18"/>
              </w:rPr>
              <w:t> 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整改</w:t>
            </w:r>
            <w:r>
              <w:rPr>
                <w:rFonts w:hint="eastAsia" w:hAnsi="Helvetica"/>
                <w:bCs/>
                <w:kern w:val="0"/>
                <w:sz w:val="18"/>
                <w:szCs w:val="18"/>
              </w:rPr>
              <w:t>结果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MS Gothic"/>
                <w:bCs/>
                <w:kern w:val="0"/>
                <w:sz w:val="18"/>
                <w:szCs w:val="18"/>
              </w:rPr>
              <w:t> 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如</w:t>
            </w:r>
            <w:r>
              <w:rPr>
                <w:rFonts w:hint="eastAsia" w:hAnsi="Helvetica"/>
                <w:bCs/>
                <w:kern w:val="0"/>
                <w:sz w:val="18"/>
                <w:szCs w:val="18"/>
              </w:rPr>
              <w:t>整改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不合格又采取了哪些处置措施：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  <w:u w:val="single"/>
              </w:rPr>
            </w:pP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</w:trPr>
        <w:tc>
          <w:tcPr>
            <w:tcW w:w="16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行政处罚情况</w:t>
            </w:r>
          </w:p>
        </w:tc>
        <w:tc>
          <w:tcPr>
            <w:tcW w:w="8587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1.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立案：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；（填是或否）；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作出行政处罚：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；（填是或否）；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结案：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；（填是或否）。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MS Gothic"/>
                <w:bCs/>
                <w:kern w:val="0"/>
                <w:sz w:val="18"/>
                <w:szCs w:val="18"/>
              </w:rPr>
              <w:t> 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移送司法机关：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             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；（填是或否，并注明具体机关名称）；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20" w:lineRule="exact"/>
              <w:ind w:firstLine="180" w:firstLineChars="10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移送其他行政机关：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；（填是或否，并注明具体机关名称）；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2.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立案日期：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3.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处罚决定书编号：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，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下达日期：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MS Gothic"/>
                <w:bCs/>
                <w:kern w:val="0"/>
                <w:sz w:val="18"/>
                <w:szCs w:val="18"/>
              </w:rPr>
              <w:t> 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警告：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；（填是或否）；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MS Gothic"/>
                <w:bCs/>
                <w:kern w:val="0"/>
                <w:sz w:val="18"/>
                <w:szCs w:val="18"/>
              </w:rPr>
              <w:t> 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没收非法所得：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MS Gothic"/>
                <w:bCs/>
                <w:kern w:val="0"/>
                <w:sz w:val="18"/>
                <w:szCs w:val="18"/>
              </w:rPr>
              <w:t> 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没收违法生产经营产品：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；（填是或否）；共计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公斤；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货值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spacing w:line="320" w:lineRule="exact"/>
              <w:ind w:firstLine="180" w:firstLineChars="10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责令停产停业：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；（填是或否）；（注意不是责令改正，是责令停产停业）</w:t>
            </w:r>
          </w:p>
          <w:p>
            <w:pPr>
              <w:widowControl/>
              <w:spacing w:line="320" w:lineRule="exact"/>
              <w:ind w:firstLine="180" w:firstLineChars="10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吊销</w:t>
            </w:r>
            <w:r>
              <w:rPr>
                <w:rFonts w:hint="eastAsia" w:hAnsi="Helvetica"/>
                <w:bCs/>
                <w:kern w:val="0"/>
                <w:sz w:val="18"/>
                <w:szCs w:val="18"/>
              </w:rPr>
              <w:t>生鲜乳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收购许可证：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；（填是或否）；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（吊销许可证名称）。</w:t>
            </w:r>
          </w:p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4.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结案日期：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Ansi="Helvetica"/>
                <w:bCs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20" w:lineRule="exact"/>
              <w:jc w:val="left"/>
              <w:textAlignment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其他核查处置措施</w:t>
            </w:r>
          </w:p>
        </w:tc>
        <w:tc>
          <w:tcPr>
            <w:tcW w:w="8587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6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Ansi="Helvetica"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8587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/>
              <w:spacing w:line="22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spacing w:before="0" w:beforeAutospacing="0" w:after="0" w:afterAutospacing="0" w:line="360" w:lineRule="auto"/>
        <w:jc w:val="both"/>
        <w:rPr>
          <w:rFonts w:hint="eastAsia" w:ascii="Times New Roman" w:hAnsi="黑体" w:eastAsia="黑体" w:cs="Times New Roman"/>
          <w:sz w:val="32"/>
          <w:szCs w:val="32"/>
          <w:lang w:eastAsia="zh-CN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hint="eastAsia" w:ascii="Times New Roman" w:hAnsi="黑体" w:eastAsia="黑体" w:cs="Times New Roman"/>
          <w:sz w:val="32"/>
          <w:szCs w:val="32"/>
          <w:lang w:eastAsia="zh-CN"/>
        </w:rPr>
        <w:sectPr>
          <w:pgSz w:w="11906" w:h="16838"/>
          <w:pgMar w:top="2098" w:right="1531" w:bottom="2098" w:left="1531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before="0" w:beforeAutospacing="0" w:after="0" w:afterAutospacing="0" w:line="360" w:lineRule="auto"/>
        <w:jc w:val="both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附表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2</w:t>
      </w:r>
    </w:p>
    <w:p>
      <w:pPr>
        <w:pStyle w:val="3"/>
        <w:spacing w:before="0" w:beforeAutospacing="0" w:after="0" w:afterAutospacing="0" w:line="360" w:lineRule="auto"/>
        <w:jc w:val="both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</w:p>
    <w:p>
      <w:pPr>
        <w:pStyle w:val="3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生鲜乳质量安全监督抽查结果汇总表</w:t>
      </w:r>
    </w:p>
    <w:p>
      <w:pPr>
        <w:pStyle w:val="3"/>
        <w:spacing w:before="0" w:beforeAutospacing="0" w:after="0" w:afterAutospacing="0"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cs="Times New Roman"/>
          <w:bCs/>
        </w:rPr>
        <w:t>填报单位（公章）：</w:t>
      </w:r>
    </w:p>
    <w:tbl>
      <w:tblPr>
        <w:tblStyle w:val="4"/>
        <w:tblW w:w="139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  <w:gridCol w:w="1134"/>
        <w:gridCol w:w="1134"/>
        <w:gridCol w:w="1134"/>
        <w:gridCol w:w="1134"/>
        <w:gridCol w:w="992"/>
        <w:gridCol w:w="976"/>
        <w:gridCol w:w="1150"/>
        <w:gridCol w:w="851"/>
        <w:gridCol w:w="992"/>
        <w:gridCol w:w="1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left"/>
            </w:pPr>
            <w:r>
              <w:t>序号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jc w:val="left"/>
            </w:pPr>
            <w:r>
              <w:t>被抽查单位名称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left"/>
            </w:pPr>
            <w:r>
              <w:t>抽查</w:t>
            </w:r>
            <w:r>
              <w:rPr>
                <w:rFonts w:hint="eastAsia"/>
                <w:lang w:eastAsia="zh-CN"/>
              </w:rPr>
              <w:t>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样品</w:t>
            </w:r>
            <w:r>
              <w:t>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样品</w:t>
            </w:r>
            <w:r>
              <w:t>编号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</w:pPr>
            <w:r>
              <w:t>检测结果 mg/kg，µg/kg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t>结论</w:t>
            </w:r>
          </w:p>
          <w:p>
            <w:pPr>
              <w:jc w:val="center"/>
            </w:pPr>
            <w:r>
              <w:t>(合格或不合格)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75" w:type="dxa"/>
            <w:vMerge w:val="continue"/>
            <w:vAlign w:val="center"/>
          </w:tcPr>
          <w:p/>
        </w:tc>
        <w:tc>
          <w:tcPr>
            <w:tcW w:w="2694" w:type="dxa"/>
            <w:vMerge w:val="continue"/>
            <w:vAlign w:val="center"/>
          </w:tcPr>
          <w:p/>
        </w:tc>
        <w:tc>
          <w:tcPr>
            <w:tcW w:w="1134" w:type="dxa"/>
            <w:vMerge w:val="continue"/>
            <w:vAlign w:val="center"/>
          </w:tcPr>
          <w:p/>
        </w:tc>
        <w:tc>
          <w:tcPr>
            <w:tcW w:w="1134" w:type="dxa"/>
            <w:vMerge w:val="continue"/>
            <w:vAlign w:val="center"/>
          </w:tcPr>
          <w:p/>
        </w:tc>
        <w:tc>
          <w:tcPr>
            <w:tcW w:w="1134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检测项目1</w:t>
            </w:r>
          </w:p>
        </w:tc>
        <w:tc>
          <w:tcPr>
            <w:tcW w:w="992" w:type="dxa"/>
            <w:vAlign w:val="top"/>
          </w:tcPr>
          <w:p>
            <w:pPr>
              <w:jc w:val="center"/>
            </w:pPr>
            <w:r>
              <w:t>检测项目2</w:t>
            </w:r>
          </w:p>
        </w:tc>
        <w:tc>
          <w:tcPr>
            <w:tcW w:w="976" w:type="dxa"/>
            <w:vAlign w:val="top"/>
          </w:tcPr>
          <w:p>
            <w:pPr>
              <w:jc w:val="center"/>
            </w:pPr>
            <w:r>
              <w:t>检测项目3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  <w:r>
              <w:t>检测项目4</w:t>
            </w:r>
          </w:p>
        </w:tc>
        <w:tc>
          <w:tcPr>
            <w:tcW w:w="851" w:type="dxa"/>
            <w:vAlign w:val="center"/>
          </w:tcPr>
          <w:p>
            <w:pPr>
              <w:jc w:val="left"/>
            </w:pPr>
            <w:r>
              <w:t>……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068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75" w:type="dxa"/>
            <w:vAlign w:val="center"/>
          </w:tcPr>
          <w:p>
            <w:pPr>
              <w:jc w:val="left"/>
            </w:pPr>
          </w:p>
        </w:tc>
        <w:tc>
          <w:tcPr>
            <w:tcW w:w="269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</w:p>
        </w:tc>
        <w:tc>
          <w:tcPr>
            <w:tcW w:w="976" w:type="dxa"/>
            <w:vAlign w:val="center"/>
          </w:tcPr>
          <w:p>
            <w:pPr>
              <w:jc w:val="left"/>
            </w:pPr>
          </w:p>
        </w:tc>
        <w:tc>
          <w:tcPr>
            <w:tcW w:w="1150" w:type="dxa"/>
            <w:vAlign w:val="center"/>
          </w:tcPr>
          <w:p>
            <w:pPr>
              <w:jc w:val="left"/>
            </w:pP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</w:p>
        </w:tc>
        <w:tc>
          <w:tcPr>
            <w:tcW w:w="10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75" w:type="dxa"/>
            <w:vAlign w:val="center"/>
          </w:tcPr>
          <w:p>
            <w:pPr>
              <w:jc w:val="left"/>
            </w:pPr>
          </w:p>
        </w:tc>
        <w:tc>
          <w:tcPr>
            <w:tcW w:w="269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</w:p>
        </w:tc>
        <w:tc>
          <w:tcPr>
            <w:tcW w:w="976" w:type="dxa"/>
            <w:vAlign w:val="center"/>
          </w:tcPr>
          <w:p>
            <w:pPr>
              <w:jc w:val="left"/>
            </w:pPr>
          </w:p>
        </w:tc>
        <w:tc>
          <w:tcPr>
            <w:tcW w:w="1150" w:type="dxa"/>
            <w:vAlign w:val="center"/>
          </w:tcPr>
          <w:p>
            <w:pPr>
              <w:jc w:val="left"/>
            </w:pP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</w:p>
        </w:tc>
        <w:tc>
          <w:tcPr>
            <w:tcW w:w="10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vAlign w:val="center"/>
          </w:tcPr>
          <w:p>
            <w:pPr>
              <w:jc w:val="left"/>
            </w:pPr>
          </w:p>
        </w:tc>
        <w:tc>
          <w:tcPr>
            <w:tcW w:w="269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</w:p>
        </w:tc>
        <w:tc>
          <w:tcPr>
            <w:tcW w:w="976" w:type="dxa"/>
            <w:vAlign w:val="center"/>
          </w:tcPr>
          <w:p>
            <w:pPr>
              <w:jc w:val="left"/>
            </w:pPr>
          </w:p>
        </w:tc>
        <w:tc>
          <w:tcPr>
            <w:tcW w:w="1150" w:type="dxa"/>
            <w:vAlign w:val="center"/>
          </w:tcPr>
          <w:p>
            <w:pPr>
              <w:jc w:val="left"/>
            </w:pP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</w:p>
        </w:tc>
        <w:tc>
          <w:tcPr>
            <w:tcW w:w="1068" w:type="dxa"/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bidi w:val="0"/>
        <w:spacing w:line="360" w:lineRule="auto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bidi w:val="0"/>
        <w:spacing w:line="360" w:lineRule="auto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209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A1206"/>
    <w:rsid w:val="055C5E18"/>
    <w:rsid w:val="071771C7"/>
    <w:rsid w:val="0E19743E"/>
    <w:rsid w:val="0ECE5EC7"/>
    <w:rsid w:val="0F4221AC"/>
    <w:rsid w:val="14AB7575"/>
    <w:rsid w:val="17F17511"/>
    <w:rsid w:val="321A1206"/>
    <w:rsid w:val="3BBA7066"/>
    <w:rsid w:val="3E762F2D"/>
    <w:rsid w:val="4CC549EA"/>
    <w:rsid w:val="528E3A55"/>
    <w:rsid w:val="55D23189"/>
    <w:rsid w:val="56FB14AA"/>
    <w:rsid w:val="5D0311D9"/>
    <w:rsid w:val="5E7936C8"/>
    <w:rsid w:val="5ED318F4"/>
    <w:rsid w:val="603C7DA4"/>
    <w:rsid w:val="6E1835EE"/>
    <w:rsid w:val="78490775"/>
    <w:rsid w:val="78A102D5"/>
    <w:rsid w:val="79A65DB3"/>
    <w:rsid w:val="7E4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2729</Words>
  <Characters>2857</Characters>
  <Lines>0</Lines>
  <Paragraphs>0</Paragraphs>
  <TotalTime>7</TotalTime>
  <ScaleCrop>false</ScaleCrop>
  <LinksUpToDate>false</LinksUpToDate>
  <CharactersWithSpaces>3742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2021-03-09T07:37:00Z</dcterms:created>
  <dc:creator>詹姆斯小杨</dc:creator>
  <cp:lastModifiedBy>严茂森</cp:lastModifiedBy>
  <cp:lastPrinted>2021-03-23T05:22:00Z</cp:lastPrinted>
  <dcterms:modified xsi:type="dcterms:W3CDTF">2021-04-08T01:24:06Z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A1EE361ACAF448B4ABEE3C32E2DE0B56</vt:lpwstr>
  </property>
</Properties>
</file>