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7F5" w:rsidRDefault="00FF5B33" w:rsidP="00E5448C">
      <w:pPr>
        <w:spacing w:beforeLines="50" w:before="156" w:afterLines="50" w:after="156" w:line="240" w:lineRule="auto"/>
        <w:ind w:firstLineChars="200" w:firstLine="616"/>
        <w:outlineLvl w:val="2"/>
        <w:rPr>
          <w:rFonts w:ascii="黑体" w:eastAsia="黑体" w:hAnsi="黑体" w:cs="黑体"/>
          <w:kern w:val="0"/>
          <w:szCs w:val="32"/>
        </w:rPr>
      </w:pPr>
      <w:bookmarkStart w:id="0" w:name="_Toc466639374"/>
      <w:r>
        <w:rPr>
          <w:rFonts w:ascii="黑体" w:eastAsia="黑体" w:hAnsi="黑体" w:cs="黑体" w:hint="eastAsia"/>
          <w:kern w:val="0"/>
          <w:szCs w:val="32"/>
        </w:rPr>
        <w:t>附件</w:t>
      </w:r>
      <w:r>
        <w:rPr>
          <w:rFonts w:ascii="黑体" w:eastAsia="黑体" w:hAnsi="黑体" w:cs="黑体" w:hint="eastAsia"/>
          <w:kern w:val="0"/>
          <w:szCs w:val="32"/>
        </w:rPr>
        <w:t>4</w:t>
      </w:r>
    </w:p>
    <w:p w:rsidR="007827F5" w:rsidRDefault="00FF5B33" w:rsidP="00E5448C">
      <w:pPr>
        <w:spacing w:beforeLines="50" w:before="156" w:afterLines="50" w:after="156" w:line="240" w:lineRule="auto"/>
        <w:jc w:val="center"/>
        <w:outlineLvl w:val="2"/>
        <w:rPr>
          <w:rFonts w:ascii="黑体" w:eastAsia="黑体" w:hAnsi="黑体" w:cs="黑体"/>
          <w:kern w:val="0"/>
          <w:sz w:val="36"/>
          <w:szCs w:val="36"/>
        </w:rPr>
      </w:pPr>
      <w:r>
        <w:rPr>
          <w:rFonts w:ascii="黑体" w:eastAsia="黑体" w:hAnsi="黑体" w:cs="黑体" w:hint="eastAsia"/>
          <w:kern w:val="0"/>
          <w:sz w:val="36"/>
          <w:szCs w:val="36"/>
        </w:rPr>
        <w:t>《</w:t>
      </w:r>
      <w:r>
        <w:rPr>
          <w:rFonts w:ascii="黑体" w:eastAsia="黑体" w:hAnsi="黑体" w:cs="黑体" w:hint="eastAsia"/>
          <w:kern w:val="0"/>
          <w:sz w:val="36"/>
          <w:szCs w:val="36"/>
        </w:rPr>
        <w:t>企业技术中心评价数据表</w:t>
      </w:r>
      <w:r>
        <w:rPr>
          <w:rFonts w:ascii="黑体" w:eastAsia="黑体" w:hAnsi="黑体" w:cs="黑体" w:hint="eastAsia"/>
          <w:kern w:val="0"/>
          <w:sz w:val="36"/>
          <w:szCs w:val="36"/>
        </w:rPr>
        <w:t>》</w:t>
      </w:r>
      <w:r>
        <w:rPr>
          <w:rFonts w:ascii="黑体" w:eastAsia="黑体" w:hAnsi="黑体" w:cs="黑体" w:hint="eastAsia"/>
          <w:kern w:val="0"/>
          <w:sz w:val="36"/>
          <w:szCs w:val="36"/>
        </w:rPr>
        <w:t>指标解释和填报说明</w:t>
      </w:r>
      <w:bookmarkEnd w:id="0"/>
    </w:p>
    <w:p w:rsidR="00E5448C" w:rsidRDefault="00E5448C" w:rsidP="00E5448C">
      <w:pPr>
        <w:pStyle w:val="a3"/>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主营业务收入：指报告年度内企业确认的销售商品、提供劳务等主营业务的收入。根据会计“主营业务收入”科目的期末贷方余额填报。若会计报告和会计报表中未设置该科目，填报企业年度财务报表附注中“主营业务收入”数据。</w:t>
      </w:r>
    </w:p>
    <w:p w:rsidR="00E5448C" w:rsidRDefault="00E5448C" w:rsidP="00E5448C">
      <w:pPr>
        <w:pStyle w:val="a3"/>
        <w:spacing w:line="4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2.研究开发（简称“研发”）经费支出：指报告年度内企业研发活动的经费支出合计，包括企业内部的日常研发经费支出，当年形成用于研发的固定资产支出和委托外单位开展研发的经费支出。</w:t>
      </w:r>
    </w:p>
    <w:p w:rsidR="00E5448C" w:rsidRDefault="00E5448C" w:rsidP="00E5448C">
      <w:pPr>
        <w:pStyle w:val="a3"/>
        <w:spacing w:line="5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3.研究开发人员数：指报告年度内企业内部直接参加研发项目人员，以及研发活动的管理和直接服务的人员。不包括全年累计从事研发活动时间</w:t>
      </w:r>
      <w:proofErr w:type="gramStart"/>
      <w:r>
        <w:rPr>
          <w:rFonts w:ascii="仿宋_GB2312" w:eastAsia="仿宋_GB2312" w:hAnsi="仿宋_GB2312" w:cs="仿宋_GB2312" w:hint="eastAsia"/>
          <w:sz w:val="32"/>
          <w:szCs w:val="32"/>
        </w:rPr>
        <w:t>占制度</w:t>
      </w:r>
      <w:proofErr w:type="gramEnd"/>
      <w:r>
        <w:rPr>
          <w:rFonts w:ascii="仿宋_GB2312" w:eastAsia="仿宋_GB2312" w:hAnsi="仿宋_GB2312" w:cs="仿宋_GB2312" w:hint="eastAsia"/>
          <w:sz w:val="32"/>
          <w:szCs w:val="32"/>
        </w:rPr>
        <w:t>工作时间10%以下的人员。</w:t>
      </w:r>
    </w:p>
    <w:p w:rsidR="00E5448C" w:rsidRDefault="00E5448C" w:rsidP="00E5448C">
      <w:pPr>
        <w:pStyle w:val="a3"/>
        <w:spacing w:line="5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4.企业职工总数：指企业在报告年度内平均拥有的从业人员数，按照统计指标“从业人员平均人数”计算。</w:t>
      </w:r>
    </w:p>
    <w:p w:rsidR="00E5448C" w:rsidRDefault="00E5448C" w:rsidP="00E5448C">
      <w:pPr>
        <w:pStyle w:val="a3"/>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技术中心高层次研发人数：指截至报告年度末全职在技术中心工作的高级专家和博士人数（包括在站博士后）。高级专家包括获得国家、省、部等政府部门认定的有突出贡献的专家，享受国家、省、部专项津贴的专家，具有高级职称的专家（含高级技师），以及纳入各级人才计划的专家。</w:t>
      </w:r>
    </w:p>
    <w:p w:rsidR="00E5448C" w:rsidRDefault="00E5448C" w:rsidP="00E5448C">
      <w:pPr>
        <w:pStyle w:val="a3"/>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6.来技术中心从事研发工作的外部专家工作时间：指截至报告年度</w:t>
      </w:r>
      <w:proofErr w:type="gramStart"/>
      <w:r>
        <w:rPr>
          <w:rFonts w:ascii="仿宋_GB2312" w:eastAsia="仿宋_GB2312" w:hAnsi="仿宋_GB2312" w:cs="仿宋_GB2312" w:hint="eastAsia"/>
          <w:sz w:val="32"/>
          <w:szCs w:val="32"/>
        </w:rPr>
        <w:t>末来</w:t>
      </w:r>
      <w:proofErr w:type="gramEnd"/>
      <w:r>
        <w:rPr>
          <w:rFonts w:ascii="仿宋_GB2312" w:eastAsia="仿宋_GB2312" w:hAnsi="仿宋_GB2312" w:cs="仿宋_GB2312" w:hint="eastAsia"/>
          <w:sz w:val="32"/>
          <w:szCs w:val="32"/>
        </w:rPr>
        <w:t>技术中心从事研究、技术开发工作的具有较高科技开发能力的海内外专家累计人月。最小统计单位为：0.5人月。（注：1人月指一个人在报告年度内工作满22个工作日）。</w:t>
      </w:r>
    </w:p>
    <w:p w:rsidR="00E5448C" w:rsidRDefault="00E5448C" w:rsidP="00E5448C">
      <w:pPr>
        <w:pStyle w:val="a3"/>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7.企业对外合作项目数：指企业在报告年度当年立项并开展研发（制）工作、以前年份</w:t>
      </w:r>
      <w:proofErr w:type="gramStart"/>
      <w:r>
        <w:rPr>
          <w:rFonts w:ascii="仿宋_GB2312" w:eastAsia="仿宋_GB2312" w:hAnsi="仿宋_GB2312" w:cs="仿宋_GB2312" w:hint="eastAsia"/>
          <w:sz w:val="32"/>
          <w:szCs w:val="32"/>
        </w:rPr>
        <w:t>立项仍</w:t>
      </w:r>
      <w:proofErr w:type="gramEnd"/>
      <w:r>
        <w:rPr>
          <w:rFonts w:ascii="仿宋_GB2312" w:eastAsia="仿宋_GB2312" w:hAnsi="仿宋_GB2312" w:cs="仿宋_GB2312" w:hint="eastAsia"/>
          <w:sz w:val="32"/>
          <w:szCs w:val="32"/>
        </w:rPr>
        <w:t>继续进行研发（制）的研究开发项目或课题中，与境内外高校、科研院所、产业链上下游企业等联合开展研发的项目数，但不包括完全委托外单位进行研发的项目。</w:t>
      </w:r>
    </w:p>
    <w:p w:rsidR="00E5448C" w:rsidRDefault="00E5448C" w:rsidP="00E5448C">
      <w:pPr>
        <w:pStyle w:val="a3"/>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8.长三角等区域合作项目数：是指企业对外合作项目中，合作对象是位于浙江省、江苏省和安徽省的企业、高校或研究机构。</w:t>
      </w:r>
    </w:p>
    <w:p w:rsidR="00E5448C" w:rsidRDefault="00E5448C" w:rsidP="00E5448C">
      <w:pPr>
        <w:pStyle w:val="a3"/>
        <w:spacing w:line="5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9.基础研究和应用研究项目数：指企业在报告年度当年立项并开展研发（制）工作、以前年份</w:t>
      </w:r>
      <w:proofErr w:type="gramStart"/>
      <w:r>
        <w:rPr>
          <w:rFonts w:ascii="仿宋_GB2312" w:eastAsia="仿宋_GB2312" w:hAnsi="仿宋_GB2312" w:cs="仿宋_GB2312" w:hint="eastAsia"/>
          <w:sz w:val="32"/>
          <w:szCs w:val="32"/>
        </w:rPr>
        <w:t>立项仍</w:t>
      </w:r>
      <w:proofErr w:type="gramEnd"/>
      <w:r>
        <w:rPr>
          <w:rFonts w:ascii="仿宋_GB2312" w:eastAsia="仿宋_GB2312" w:hAnsi="仿宋_GB2312" w:cs="仿宋_GB2312" w:hint="eastAsia"/>
          <w:sz w:val="32"/>
          <w:szCs w:val="32"/>
        </w:rPr>
        <w:t>继续进行研发（制）的研究开发项目或课题中，主要以科学原理的探索与发现、技术原理的研究为目标的项目数。</w:t>
      </w:r>
    </w:p>
    <w:p w:rsidR="00E5448C" w:rsidRDefault="00E5448C" w:rsidP="00E5448C">
      <w:pPr>
        <w:pStyle w:val="a3"/>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拥有经认证的研发平台、实验室和检测机构数：指企业作为项目法人承担建设、国家或省级有关部门归口管理且已经获得批复的科技类、研究开发类平台数，以及通过中华人民共和国有关国家部门、国际组织企业认证认可的、仍在有效期内的实验室、检验检测机构数。</w:t>
      </w:r>
    </w:p>
    <w:p w:rsidR="00E5448C" w:rsidRDefault="00E5448C" w:rsidP="00E5448C">
      <w:pPr>
        <w:pStyle w:val="a3"/>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11.企业技术开发仪器设备原值及研发用软件购置费：</w:t>
      </w:r>
      <w:bookmarkStart w:id="1" w:name="OLE_LINK18"/>
      <w:bookmarkStart w:id="2" w:name="OLE_LINK17"/>
      <w:r>
        <w:rPr>
          <w:rFonts w:ascii="仿宋_GB2312" w:eastAsia="仿宋_GB2312" w:hAnsi="仿宋_GB2312" w:cs="仿宋_GB2312" w:hint="eastAsia"/>
          <w:sz w:val="32"/>
          <w:szCs w:val="32"/>
        </w:rPr>
        <w:t>指报告年度末</w:t>
      </w:r>
      <w:bookmarkEnd w:id="1"/>
      <w:bookmarkEnd w:id="2"/>
      <w:r>
        <w:rPr>
          <w:rFonts w:ascii="仿宋_GB2312" w:eastAsia="仿宋_GB2312" w:hAnsi="仿宋_GB2312" w:cs="仿宋_GB2312" w:hint="eastAsia"/>
          <w:sz w:val="32"/>
          <w:szCs w:val="32"/>
        </w:rPr>
        <w:t>企业用于研发的固定资产中的仪器和设备原价以及软件购置费用。其中，设备包括用于研发活动的各类机器和设备、试验测量仪器、运输工具、工装工具等，软件购置费用包括用于研发活动的开发软件、设计软件、测试软件等。</w:t>
      </w:r>
    </w:p>
    <w:p w:rsidR="00E5448C" w:rsidRDefault="00E5448C" w:rsidP="00E5448C">
      <w:pPr>
        <w:pStyle w:val="a3"/>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 技术中心在境外设立的研发机构数：指技术中心在港澳台地区及国外设立以科研开发、设计为目的的研发机构数量。</w:t>
      </w:r>
    </w:p>
    <w:p w:rsidR="00E5448C" w:rsidRDefault="00E5448C" w:rsidP="00E5448C">
      <w:pPr>
        <w:pStyle w:val="a3"/>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 技术中心与其他组织合办研发机构数：指技术中心</w:t>
      </w:r>
      <w:r>
        <w:rPr>
          <w:rFonts w:ascii="仿宋_GB2312" w:eastAsia="仿宋_GB2312" w:hAnsi="仿宋_GB2312" w:cs="仿宋_GB2312" w:hint="eastAsia"/>
          <w:sz w:val="32"/>
          <w:szCs w:val="32"/>
        </w:rPr>
        <w:lastRenderedPageBreak/>
        <w:t>与高校、研究院所、其他企业联合设立的以科研开发设计为目的的组织机构数量，包括共建实验室、基地、院士工作站等。</w:t>
      </w:r>
    </w:p>
    <w:p w:rsidR="00E5448C" w:rsidRDefault="00E5448C" w:rsidP="00E5448C">
      <w:pPr>
        <w:pStyle w:val="a3"/>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14.企业拥有的全部有效Ⅰ类知识产权数：指</w:t>
      </w:r>
      <w:bookmarkStart w:id="3" w:name="OLE_LINK12"/>
      <w:r>
        <w:rPr>
          <w:rFonts w:ascii="仿宋_GB2312" w:eastAsia="仿宋_GB2312" w:hAnsi="仿宋_GB2312" w:cs="仿宋_GB2312" w:hint="eastAsia"/>
          <w:sz w:val="32"/>
          <w:szCs w:val="32"/>
        </w:rPr>
        <w:t>报告年度末</w:t>
      </w:r>
      <w:bookmarkEnd w:id="3"/>
      <w:r>
        <w:rPr>
          <w:rFonts w:ascii="仿宋_GB2312" w:eastAsia="仿宋_GB2312" w:hAnsi="仿宋_GB2312" w:cs="仿宋_GB2312" w:hint="eastAsia"/>
          <w:sz w:val="32"/>
          <w:szCs w:val="32"/>
        </w:rPr>
        <w:t>企业作为所有权人拥有的、经国内外知识产权行政部门授予且在有效期内的Ⅰ类知识产权数，包括发明专利（含国防专利）、国际专利、植物新品种、国家级农作物品种、国家新药、国家一级中药保护品种、集成电路布图设计专有权等。</w:t>
      </w:r>
    </w:p>
    <w:p w:rsidR="00E5448C" w:rsidRDefault="00E5448C" w:rsidP="00E5448C">
      <w:pPr>
        <w:pStyle w:val="a3"/>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15.企业拥有的全部国际专利数：指报告年度末企业作为专利权人拥有的、经国外知识产权行政部门授予且在有效期内的专利件数。</w:t>
      </w:r>
    </w:p>
    <w:p w:rsidR="00E5448C" w:rsidRDefault="00E5448C" w:rsidP="00E5448C">
      <w:pPr>
        <w:pStyle w:val="a3"/>
        <w:spacing w:line="5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16.企业拥有高质量专利数：包括在海外有同族专利权的发明专利，维持年限超过10年以上的发明专利，获得国家科学技术奖或中国专利奖的发明专利。</w:t>
      </w:r>
    </w:p>
    <w:p w:rsidR="00E5448C" w:rsidRDefault="00E5448C" w:rsidP="00E5448C">
      <w:pPr>
        <w:pStyle w:val="a3"/>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17.当年被受理的Ⅰ类知识产权申请数：指报告年度内企业向相关行政部门提出申请并被受理的发明专利（含国防专利）、国际专利、植物新品种、国家级农作物品种、国家新药、国家一级中药保护品种、集成电路布图设计专有权等数量。</w:t>
      </w:r>
    </w:p>
    <w:p w:rsidR="00E5448C" w:rsidRDefault="00E5448C" w:rsidP="00E5448C">
      <w:pPr>
        <w:pStyle w:val="a3"/>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18.当年被受理的PCT专利申请数：指报告年度内，企业通过《专利合作条约》（PCT），向相关行政部门提出申请并被受理的专利数。</w:t>
      </w:r>
    </w:p>
    <w:p w:rsidR="00E5448C" w:rsidRDefault="00E5448C" w:rsidP="00E5448C">
      <w:pPr>
        <w:pStyle w:val="a3"/>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19.最近三年主持和参加制定的标准数：指企业在报告年度、报告年度前一年、报告年度前二年主持或参加制定，目前仍有效执行的国际、国家、地方、行业、团体和企业标准的数量，包括工程建设工法数。</w:t>
      </w:r>
    </w:p>
    <w:p w:rsidR="00E5448C" w:rsidRDefault="00E5448C" w:rsidP="00E5448C">
      <w:pPr>
        <w:pStyle w:val="a3"/>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20.新产品销售收入：对于制造业企业，新产品销售收</w:t>
      </w:r>
      <w:r>
        <w:rPr>
          <w:rFonts w:ascii="仿宋_GB2312" w:eastAsia="仿宋_GB2312" w:hAnsi="仿宋_GB2312" w:cs="仿宋_GB2312" w:hint="eastAsia"/>
          <w:sz w:val="32"/>
          <w:szCs w:val="32"/>
        </w:rPr>
        <w:lastRenderedPageBreak/>
        <w:t>入指报告年度内企业销售采用新技术原理、新设计构思研制、生产的全新产品，或在结构、材质、工艺等某一方面比原有产品有明显改进，从而显著提高了产品性能或扩大了使用功能的产品实现的销售收入。新产品既包括经政府有关部门认定并在有效期内的新产品，也包括企业自行研制开发，未经政府有关部门认定，从投产之日起一年之内的新产品。</w:t>
      </w:r>
    </w:p>
    <w:p w:rsidR="00E5448C" w:rsidRDefault="00E5448C" w:rsidP="00E5448C">
      <w:pPr>
        <w:pStyle w:val="a3"/>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对于建筑业企业，新产品销售收入指报告年度内企业采用新技术、新工艺、新结构、新材料等实现的营业收入。</w:t>
      </w:r>
    </w:p>
    <w:p w:rsidR="00E5448C" w:rsidRDefault="00E5448C" w:rsidP="00E5448C">
      <w:pPr>
        <w:pStyle w:val="a3"/>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对于服务业企业，新产品销售收入指报告年度内企业通过提供在服务内容、服务方式、服务传递系统、服务技术手段等方面全新的、或者</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明显改进的服务实现的营业收入。</w:t>
      </w:r>
    </w:p>
    <w:p w:rsidR="00E5448C" w:rsidRDefault="00E5448C" w:rsidP="00E5448C">
      <w:pPr>
        <w:pStyle w:val="a3"/>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21.新产品销售利润：指报告年度内企业通过销售新产品实现的销售（营业）利润。</w:t>
      </w:r>
    </w:p>
    <w:p w:rsidR="00E5448C" w:rsidRDefault="00E5448C" w:rsidP="00E5448C">
      <w:pPr>
        <w:pStyle w:val="a3"/>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22.利润总额：指报告年度企业生产经营过程中各种收入扣除各种耗费后的盈余，反映企业在报告期内实现的盈亏总额。</w:t>
      </w:r>
    </w:p>
    <w:p w:rsidR="00E5448C" w:rsidRDefault="00E5448C" w:rsidP="00E5448C">
      <w:pPr>
        <w:pStyle w:val="a3"/>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23. 近两年承担国家和省市专项数：指企业在报告年度、报告年度前一年度，报告年度前两年度承担的，由国家部委和地方政府部门批准立项并开展研发（制）工作的专项数量。</w:t>
      </w:r>
    </w:p>
    <w:p w:rsidR="00E5448C" w:rsidRDefault="00E5448C" w:rsidP="00E5448C">
      <w:pPr>
        <w:pStyle w:val="a3"/>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24.近两年年获国家、省部级或行业奖励数：指企业在报告年度、报告年度前一年度，报告年度前两年度获得的，由国务院或省级人民政府以及国家行业学会或协会颁发的奖励数。</w:t>
      </w:r>
    </w:p>
    <w:p w:rsidR="007827F5" w:rsidRPr="00E5448C" w:rsidRDefault="007827F5" w:rsidP="00E5448C">
      <w:pPr>
        <w:pStyle w:val="a3"/>
        <w:spacing w:beforeLines="50" w:before="156" w:afterLines="50" w:after="156"/>
        <w:ind w:firstLineChars="200" w:firstLine="400"/>
      </w:pPr>
      <w:bookmarkStart w:id="4" w:name="_GoBack"/>
      <w:bookmarkEnd w:id="4"/>
    </w:p>
    <w:sectPr w:rsidR="007827F5" w:rsidRPr="00E544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B33" w:rsidRDefault="00FF5B33">
      <w:pPr>
        <w:spacing w:line="240" w:lineRule="auto"/>
      </w:pPr>
      <w:r>
        <w:separator/>
      </w:r>
    </w:p>
  </w:endnote>
  <w:endnote w:type="continuationSeparator" w:id="0">
    <w:p w:rsidR="00FF5B33" w:rsidRDefault="00FF5B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B33" w:rsidRDefault="00FF5B33">
      <w:pPr>
        <w:spacing w:line="240" w:lineRule="auto"/>
      </w:pPr>
      <w:r>
        <w:separator/>
      </w:r>
    </w:p>
  </w:footnote>
  <w:footnote w:type="continuationSeparator" w:id="0">
    <w:p w:rsidR="00FF5B33" w:rsidRDefault="00FF5B3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9AFE52B"/>
    <w:rsid w:val="F9AFE52B"/>
    <w:rsid w:val="FF680636"/>
    <w:rsid w:val="FFE2719E"/>
    <w:rsid w:val="FFEFE862"/>
    <w:rsid w:val="FFF24B44"/>
    <w:rsid w:val="007827F5"/>
    <w:rsid w:val="00E5448C"/>
    <w:rsid w:val="00FF5B33"/>
    <w:rsid w:val="0CBFE490"/>
    <w:rsid w:val="179FF414"/>
    <w:rsid w:val="1FAE2498"/>
    <w:rsid w:val="357F7BA4"/>
    <w:rsid w:val="3F7D0E69"/>
    <w:rsid w:val="49FF3B43"/>
    <w:rsid w:val="4BF9E2C9"/>
    <w:rsid w:val="4DFB1C36"/>
    <w:rsid w:val="4FFFE514"/>
    <w:rsid w:val="65D3E968"/>
    <w:rsid w:val="66AB2435"/>
    <w:rsid w:val="6BF7D7B6"/>
    <w:rsid w:val="6C97F58A"/>
    <w:rsid w:val="6CD9D3B1"/>
    <w:rsid w:val="7BD28867"/>
    <w:rsid w:val="7BE983CB"/>
    <w:rsid w:val="7BFFAD81"/>
    <w:rsid w:val="7DDD4023"/>
    <w:rsid w:val="7DF78B4B"/>
    <w:rsid w:val="7EDFDDCE"/>
    <w:rsid w:val="7F3F831A"/>
    <w:rsid w:val="7F557585"/>
    <w:rsid w:val="7F6452CF"/>
    <w:rsid w:val="97FE939E"/>
    <w:rsid w:val="B6FF13B8"/>
    <w:rsid w:val="BFFED366"/>
    <w:rsid w:val="BFFF81CF"/>
    <w:rsid w:val="D78FF1BF"/>
    <w:rsid w:val="DBFFA50F"/>
    <w:rsid w:val="DD3E0931"/>
    <w:rsid w:val="DE8AAD70"/>
    <w:rsid w:val="E3DD2C80"/>
    <w:rsid w:val="EFDD0545"/>
    <w:rsid w:val="EFEB3AB0"/>
    <w:rsid w:val="EFFFC744"/>
    <w:rsid w:val="F39DD647"/>
    <w:rsid w:val="F7379FB6"/>
    <w:rsid w:val="F7EC2554"/>
    <w:rsid w:val="F9AFE52B"/>
    <w:rsid w:val="F9FE9304"/>
    <w:rsid w:val="FB2FAD1D"/>
    <w:rsid w:val="FB7741A5"/>
    <w:rsid w:val="FDD7F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240" w:lineRule="atLeast"/>
      <w:jc w:val="both"/>
    </w:pPr>
    <w:rPr>
      <w:rFonts w:ascii="Times New Roman" w:eastAsia="仿宋_GB2312" w:hAnsi="Times New Roman" w:cs="Times New Roman"/>
      <w:spacing w:val="-6"/>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40" w:lineRule="auto"/>
    </w:pPr>
    <w:rPr>
      <w:rFonts w:ascii="Cambria" w:eastAsia="黑体" w:hAnsi="Cambria" w:cs="Cambria"/>
      <w:spacing w:val="0"/>
      <w:sz w:val="20"/>
    </w:rPr>
  </w:style>
  <w:style w:type="paragraph" w:styleId="a4">
    <w:name w:val="header"/>
    <w:basedOn w:val="a"/>
    <w:link w:val="Char"/>
    <w:rsid w:val="00E544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5448C"/>
    <w:rPr>
      <w:rFonts w:ascii="Times New Roman" w:eastAsia="仿宋_GB2312" w:hAnsi="Times New Roman" w:cs="Times New Roman"/>
      <w:spacing w:val="-6"/>
      <w:kern w:val="2"/>
      <w:sz w:val="18"/>
      <w:szCs w:val="18"/>
    </w:rPr>
  </w:style>
  <w:style w:type="paragraph" w:styleId="a5">
    <w:name w:val="footer"/>
    <w:basedOn w:val="a"/>
    <w:link w:val="Char0"/>
    <w:rsid w:val="00E5448C"/>
    <w:pPr>
      <w:tabs>
        <w:tab w:val="center" w:pos="4153"/>
        <w:tab w:val="right" w:pos="8306"/>
      </w:tabs>
      <w:snapToGrid w:val="0"/>
      <w:jc w:val="left"/>
    </w:pPr>
    <w:rPr>
      <w:sz w:val="18"/>
      <w:szCs w:val="18"/>
    </w:rPr>
  </w:style>
  <w:style w:type="character" w:customStyle="1" w:styleId="Char0">
    <w:name w:val="页脚 Char"/>
    <w:basedOn w:val="a0"/>
    <w:link w:val="a5"/>
    <w:rsid w:val="00E5448C"/>
    <w:rPr>
      <w:rFonts w:ascii="Times New Roman" w:eastAsia="仿宋_GB2312" w:hAnsi="Times New Roman" w:cs="Times New Roman"/>
      <w:spacing w:val="-6"/>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240" w:lineRule="atLeast"/>
      <w:jc w:val="both"/>
    </w:pPr>
    <w:rPr>
      <w:rFonts w:ascii="Times New Roman" w:eastAsia="仿宋_GB2312" w:hAnsi="Times New Roman" w:cs="Times New Roman"/>
      <w:spacing w:val="-6"/>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40" w:lineRule="auto"/>
    </w:pPr>
    <w:rPr>
      <w:rFonts w:ascii="Cambria" w:eastAsia="黑体" w:hAnsi="Cambria" w:cs="Cambria"/>
      <w:spacing w:val="0"/>
      <w:sz w:val="20"/>
    </w:rPr>
  </w:style>
  <w:style w:type="paragraph" w:styleId="a4">
    <w:name w:val="header"/>
    <w:basedOn w:val="a"/>
    <w:link w:val="Char"/>
    <w:rsid w:val="00E544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5448C"/>
    <w:rPr>
      <w:rFonts w:ascii="Times New Roman" w:eastAsia="仿宋_GB2312" w:hAnsi="Times New Roman" w:cs="Times New Roman"/>
      <w:spacing w:val="-6"/>
      <w:kern w:val="2"/>
      <w:sz w:val="18"/>
      <w:szCs w:val="18"/>
    </w:rPr>
  </w:style>
  <w:style w:type="paragraph" w:styleId="a5">
    <w:name w:val="footer"/>
    <w:basedOn w:val="a"/>
    <w:link w:val="Char0"/>
    <w:rsid w:val="00E5448C"/>
    <w:pPr>
      <w:tabs>
        <w:tab w:val="center" w:pos="4153"/>
        <w:tab w:val="right" w:pos="8306"/>
      </w:tabs>
      <w:snapToGrid w:val="0"/>
      <w:jc w:val="left"/>
    </w:pPr>
    <w:rPr>
      <w:sz w:val="18"/>
      <w:szCs w:val="18"/>
    </w:rPr>
  </w:style>
  <w:style w:type="character" w:customStyle="1" w:styleId="Char0">
    <w:name w:val="页脚 Char"/>
    <w:basedOn w:val="a0"/>
    <w:link w:val="a5"/>
    <w:rsid w:val="00E5448C"/>
    <w:rPr>
      <w:rFonts w:ascii="Times New Roman" w:eastAsia="仿宋_GB2312" w:hAnsi="Times New Roman" w:cs="Times New Roman"/>
      <w:spacing w:val="-6"/>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349</Words>
  <Characters>1991</Characters>
  <Application>Microsoft Office Word</Application>
  <DocSecurity>0</DocSecurity>
  <Lines>16</Lines>
  <Paragraphs>4</Paragraphs>
  <ScaleCrop>false</ScaleCrop>
  <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用户</cp:lastModifiedBy>
  <cp:revision>2</cp:revision>
  <dcterms:created xsi:type="dcterms:W3CDTF">2023-03-03T14:10:00Z</dcterms:created>
  <dcterms:modified xsi:type="dcterms:W3CDTF">2024-07-12T07:26:00Z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