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val="0"/>
        <w:snapToGrid w:val="0"/>
        <w:spacing w:line="336" w:lineRule="auto"/>
        <w:ind w:left="0" w:leftChars="0" w:firstLine="5040" w:firstLineChars="0"/>
        <w:jc w:val="left"/>
        <w:textAlignment w:val="auto"/>
        <w:rPr>
          <w:rFonts w:hint="eastAsia"/>
          <w:kern w:val="2"/>
          <w:szCs w:val="32"/>
        </w:rPr>
      </w:pPr>
      <w:r>
        <w:rPr>
          <w:rFonts w:hint="eastAsia"/>
          <w:kern w:val="2"/>
          <w:szCs w:val="32"/>
        </w:rPr>
        <w:t>办理结果：采纳解决</w:t>
      </w:r>
    </w:p>
    <w:p>
      <w:pPr>
        <w:keepNext w:val="0"/>
        <w:keepLines w:val="0"/>
        <w:pageBreakBefore w:val="0"/>
        <w:widowControl w:val="0"/>
        <w:kinsoku/>
        <w:wordWrap/>
        <w:overflowPunct w:val="0"/>
        <w:topLinePunct w:val="0"/>
        <w:autoSpaceDE/>
        <w:autoSpaceDN/>
        <w:bidi w:val="0"/>
        <w:adjustRightInd w:val="0"/>
        <w:snapToGrid w:val="0"/>
        <w:spacing w:line="336" w:lineRule="auto"/>
        <w:ind w:left="0" w:leftChars="0" w:firstLine="5040" w:firstLineChars="0"/>
        <w:jc w:val="left"/>
        <w:textAlignment w:val="auto"/>
        <w:rPr>
          <w:rFonts w:hint="eastAsia"/>
          <w:kern w:val="2"/>
          <w:szCs w:val="32"/>
          <w:lang w:val="en-US" w:eastAsia="zh-CN"/>
        </w:rPr>
      </w:pPr>
      <w:r>
        <w:rPr>
          <w:rFonts w:hint="eastAsia"/>
          <w:kern w:val="2"/>
          <w:szCs w:val="32"/>
        </w:rPr>
        <w:t>公开属性：主动公开</w:t>
      </w:r>
      <w:r>
        <w:rPr>
          <w:rFonts w:hint="eastAsia"/>
          <w:kern w:val="2"/>
          <w:szCs w:val="32"/>
          <w:lang w:val="en-US" w:eastAsia="zh-CN"/>
        </w:rPr>
        <w:t>·全文</w:t>
      </w:r>
    </w:p>
    <w:p>
      <w:pPr>
        <w:keepNext w:val="0"/>
        <w:keepLines w:val="0"/>
        <w:pageBreakBefore w:val="0"/>
        <w:widowControl w:val="0"/>
        <w:kinsoku/>
        <w:wordWrap/>
        <w:overflowPunct w:val="0"/>
        <w:topLinePunct w:val="0"/>
        <w:autoSpaceDE/>
        <w:autoSpaceDN/>
        <w:bidi w:val="0"/>
        <w:adjustRightInd w:val="0"/>
        <w:snapToGrid w:val="0"/>
        <w:spacing w:line="336" w:lineRule="auto"/>
        <w:jc w:val="left"/>
        <w:textAlignment w:val="auto"/>
        <w:rPr>
          <w:rFonts w:hint="eastAsia"/>
          <w:kern w:val="2"/>
          <w:szCs w:val="32"/>
        </w:rPr>
      </w:pPr>
    </w:p>
    <w:p>
      <w:pPr>
        <w:keepNext w:val="0"/>
        <w:keepLines w:val="0"/>
        <w:pageBreakBefore w:val="0"/>
        <w:widowControl w:val="0"/>
        <w:kinsoku/>
        <w:wordWrap/>
        <w:overflowPunct w:val="0"/>
        <w:topLinePunct w:val="0"/>
        <w:autoSpaceDE/>
        <w:autoSpaceDN/>
        <w:bidi w:val="0"/>
        <w:adjustRightInd w:val="0"/>
        <w:snapToGrid w:val="0"/>
        <w:ind w:left="284" w:right="34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w:t>
      </w:r>
    </w:p>
    <w:p>
      <w:pPr>
        <w:keepNext w:val="0"/>
        <w:keepLines w:val="0"/>
        <w:pageBreakBefore w:val="0"/>
        <w:widowControl w:val="0"/>
        <w:tabs>
          <w:tab w:val="left" w:pos="790"/>
        </w:tabs>
        <w:kinsoku/>
        <w:wordWrap/>
        <w:overflowPunct w:val="0"/>
        <w:topLinePunct w:val="0"/>
        <w:autoSpaceDE/>
        <w:autoSpaceDN/>
        <w:bidi w:val="0"/>
        <w:adjustRightInd w:val="0"/>
        <w:snapToGrid w:val="0"/>
        <w:spacing w:before="120" w:line="336" w:lineRule="auto"/>
        <w:jc w:val="center"/>
        <w:textAlignment w:val="auto"/>
        <w:rPr>
          <w:rFonts w:hint="eastAsia"/>
          <w:kern w:val="2"/>
          <w:szCs w:val="32"/>
        </w:rPr>
      </w:pPr>
      <w:r>
        <w:rPr>
          <w:rFonts w:hint="eastAsia"/>
          <w:kern w:val="2"/>
          <w:szCs w:val="30"/>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462280</wp:posOffset>
                </wp:positionV>
                <wp:extent cx="5615940" cy="0"/>
                <wp:effectExtent l="0" t="9525" r="3810" b="9525"/>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05pt;margin-top:36.4pt;height:0pt;width:442.2pt;z-index:251659264;mso-width-relative:page;mso-height-relative:page;" filled="f" stroked="t" coordsize="21600,21600" o:gfxdata="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Acuj8LUAAAABgEAAA8AAAAAAAAAAQAgAAAAOAAA&#10;AGRycy9kb3ducmV2LnhtbFBLAQIUABQAAAAIAIdO4kCEnuGQ9gEAAOUDAAAOAAAAAAAAAAEAIAAA&#10;ADkBAABkcnMvZTJvRG9jLnhtbFBLBQYAAAAABgAGAFkBAAChBQAAAAA=&#10;">
                <v:fill on="f" focussize="0,0"/>
                <v:stroke weight="1.5pt" color="#FF0000" joinstyle="round"/>
                <v:imagedata o:title=""/>
                <o:lock v:ext="edit" aspectratio="f"/>
              </v:line>
            </w:pict>
          </mc:Fallback>
        </mc:AlternateContent>
      </w:r>
      <w:r>
        <w:rPr>
          <w:rFonts w:hint="eastAsia"/>
          <w:kern w:val="2"/>
          <w:szCs w:val="32"/>
        </w:rPr>
        <w:t>沪市监</w:t>
      </w:r>
      <w:r>
        <w:rPr>
          <w:rFonts w:hint="eastAsia" w:hAnsi="宋体"/>
          <w:kern w:val="2"/>
          <w:szCs w:val="30"/>
          <w:lang w:eastAsia="zh-CN"/>
        </w:rPr>
        <w:t>书</w:t>
      </w:r>
      <w:r>
        <w:rPr>
          <w:rFonts w:hint="eastAsia"/>
          <w:kern w:val="2"/>
          <w:szCs w:val="32"/>
        </w:rPr>
        <w:t>〔20</w:t>
      </w:r>
      <w:r>
        <w:rPr>
          <w:rFonts w:hint="default"/>
          <w:kern w:val="2"/>
          <w:szCs w:val="32"/>
          <w:lang w:val="en"/>
        </w:rPr>
        <w:t>2</w:t>
      </w:r>
      <w:r>
        <w:rPr>
          <w:rFonts w:hint="eastAsia"/>
          <w:kern w:val="2"/>
          <w:szCs w:val="32"/>
          <w:lang w:val="en-US" w:eastAsia="zh-CN"/>
        </w:rPr>
        <w:t>6</w:t>
      </w:r>
      <w:r>
        <w:rPr>
          <w:rFonts w:hint="eastAsia"/>
          <w:kern w:val="2"/>
          <w:szCs w:val="32"/>
        </w:rPr>
        <w:t>〕</w:t>
      </w:r>
      <w:r>
        <w:rPr>
          <w:rFonts w:hint="default"/>
          <w:kern w:val="2"/>
          <w:szCs w:val="32"/>
          <w:lang w:val="en-US"/>
        </w:rPr>
        <w:t>220</w:t>
      </w:r>
      <w:bookmarkStart w:id="0" w:name="_GoBack"/>
      <w:bookmarkEnd w:id="0"/>
      <w:r>
        <w:rPr>
          <w:rFonts w:hint="eastAsia"/>
          <w:kern w:val="2"/>
          <w:szCs w:val="32"/>
        </w:rPr>
        <w:t>号</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jc w:val="center"/>
        <w:textAlignment w:val="auto"/>
        <w:rPr>
          <w:rFonts w:hint="eastAsia" w:hAnsi="宋体"/>
          <w:kern w:val="2"/>
          <w:szCs w:val="30"/>
        </w:rPr>
      </w:pPr>
    </w:p>
    <w:p>
      <w:pPr>
        <w:keepNext w:val="0"/>
        <w:keepLines w:val="0"/>
        <w:pageBreakBefore w:val="0"/>
        <w:widowControl w:val="0"/>
        <w:tabs>
          <w:tab w:val="left" w:pos="790"/>
          <w:tab w:val="left" w:pos="948"/>
          <w:tab w:val="left" w:pos="5103"/>
        </w:tabs>
        <w:kinsoku/>
        <w:wordWrap/>
        <w:overflowPunct w:val="0"/>
        <w:topLinePunct w:val="0"/>
        <w:autoSpaceDE/>
        <w:autoSpaceDN/>
        <w:bidi w:val="0"/>
        <w:adjustRightInd w:val="0"/>
        <w:snapToGrid w:val="0"/>
        <w:jc w:val="center"/>
        <w:textAlignment w:val="auto"/>
        <w:rPr>
          <w:rFonts w:hint="eastAsia" w:hAnsi="宋体"/>
          <w:kern w:val="2"/>
          <w:szCs w:val="30"/>
        </w:rPr>
      </w:pPr>
    </w:p>
    <w:p>
      <w:pPr>
        <w:keepNext w:val="0"/>
        <w:keepLines w:val="0"/>
        <w:pageBreakBefore w:val="0"/>
        <w:widowControl w:val="0"/>
        <w:kinsoku/>
        <w:wordWrap/>
        <w:overflowPunct w:val="0"/>
        <w:topLinePunct w:val="0"/>
        <w:autoSpaceDE/>
        <w:autoSpaceDN/>
        <w:bidi w:val="0"/>
        <w:adjustRightInd w:val="0"/>
        <w:snapToGrid w:val="0"/>
        <w:jc w:val="center"/>
        <w:textAlignment w:val="auto"/>
        <w:rPr>
          <w:rFonts w:hint="eastAsia" w:ascii="方正小标宋简体" w:eastAsia="方正小标宋简体"/>
          <w:kern w:val="2"/>
          <w:sz w:val="44"/>
          <w:szCs w:val="44"/>
          <w:lang w:eastAsia="zh-CN"/>
        </w:rPr>
      </w:pPr>
      <w:r>
        <w:rPr>
          <w:rFonts w:hint="eastAsia" w:ascii="方正小标宋简体" w:eastAsia="方正小标宋简体"/>
          <w:kern w:val="2"/>
          <w:sz w:val="44"/>
          <w:szCs w:val="44"/>
          <w:lang w:eastAsia="zh-CN"/>
        </w:rPr>
        <w:t>对市十六届人大四次会议</w:t>
      </w:r>
    </w:p>
    <w:p>
      <w:pPr>
        <w:keepNext w:val="0"/>
        <w:keepLines w:val="0"/>
        <w:pageBreakBefore w:val="0"/>
        <w:widowControl w:val="0"/>
        <w:kinsoku/>
        <w:wordWrap/>
        <w:overflowPunct w:val="0"/>
        <w:topLinePunct w:val="0"/>
        <w:autoSpaceDE/>
        <w:autoSpaceDN/>
        <w:bidi w:val="0"/>
        <w:adjustRightInd w:val="0"/>
        <w:snapToGrid w:val="0"/>
        <w:jc w:val="center"/>
        <w:textAlignment w:val="auto"/>
        <w:rPr>
          <w:rFonts w:hint="eastAsia" w:ascii="方正小标宋简体" w:eastAsia="方正小标宋简体"/>
          <w:kern w:val="2"/>
          <w:sz w:val="44"/>
          <w:szCs w:val="44"/>
          <w:lang w:eastAsia="zh-CN"/>
        </w:rPr>
      </w:pPr>
      <w:r>
        <w:rPr>
          <w:rFonts w:hint="eastAsia" w:ascii="方正小标宋简体" w:eastAsia="方正小标宋简体"/>
          <w:kern w:val="2"/>
          <w:sz w:val="44"/>
          <w:szCs w:val="44"/>
          <w:lang w:eastAsia="zh-CN"/>
        </w:rPr>
        <w:t>第0462号代表建议的答复</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textAlignment w:val="auto"/>
        <w:rPr>
          <w:rFonts w:hint="eastAsia" w:hAnsi="宋体"/>
          <w:kern w:val="2"/>
          <w:szCs w:val="30"/>
        </w:rPr>
      </w:pPr>
      <w:r>
        <w:rPr>
          <w:rFonts w:hint="eastAsia" w:hAnsi="宋体"/>
          <w:kern w:val="2"/>
          <w:szCs w:val="30"/>
        </w:rPr>
        <w:t>刘忱代表：</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您提出的</w:t>
      </w:r>
      <w:r>
        <w:rPr>
          <w:rFonts w:hint="eastAsia" w:hAnsi="宋体"/>
          <w:kern w:val="2"/>
          <w:szCs w:val="30"/>
          <w:lang w:eastAsia="zh-CN"/>
        </w:rPr>
        <w:t>“</w:t>
      </w:r>
      <w:r>
        <w:rPr>
          <w:rFonts w:hint="eastAsia" w:hAnsi="宋体"/>
          <w:kern w:val="2"/>
          <w:szCs w:val="30"/>
        </w:rPr>
        <w:t>关于AI恶意应用治理，优化营商环境的建议</w:t>
      </w:r>
      <w:r>
        <w:rPr>
          <w:rFonts w:hint="eastAsia" w:hAnsi="宋体"/>
          <w:kern w:val="2"/>
          <w:szCs w:val="30"/>
          <w:lang w:eastAsia="zh-CN"/>
        </w:rPr>
        <w:t>”</w:t>
      </w:r>
      <w:r>
        <w:rPr>
          <w:rFonts w:hint="eastAsia" w:hAnsi="宋体"/>
          <w:kern w:val="2"/>
          <w:szCs w:val="30"/>
        </w:rPr>
        <w:t>的代表建议收悉，经研究，现将办理情况答复如下：</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黑体" w:hAnsi="黑体" w:eastAsia="黑体" w:cs="黑体"/>
          <w:kern w:val="2"/>
          <w:szCs w:val="30"/>
        </w:rPr>
      </w:pPr>
      <w:r>
        <w:rPr>
          <w:rFonts w:hint="eastAsia" w:ascii="黑体" w:hAnsi="黑体" w:eastAsia="黑体" w:cs="黑体"/>
          <w:kern w:val="2"/>
          <w:szCs w:val="30"/>
        </w:rPr>
        <w:t>一、已开展的工作</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（一）健全协同治理机制，形成多部门打击合力</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kern w:val="2"/>
          <w:szCs w:val="30"/>
        </w:rPr>
        <w:t>建立八部门联动治理机制。2025年10月31日，</w:t>
      </w:r>
      <w:r>
        <w:rPr>
          <w:rFonts w:hint="eastAsia" w:hAnsi="宋体"/>
          <w:kern w:val="2"/>
          <w:szCs w:val="30"/>
          <w:lang w:eastAsia="zh-CN"/>
        </w:rPr>
        <w:t>我局</w:t>
      </w:r>
      <w:r>
        <w:rPr>
          <w:rFonts w:hint="eastAsia" w:hAnsi="宋体"/>
          <w:kern w:val="2"/>
          <w:szCs w:val="30"/>
        </w:rPr>
        <w:t>联合市高级人民法院、市人民检察院、市公安局、市司法局、市发展改革委、市委网信办、市信访办公室等八部门印发了《关于依法治理牟利性职业索赔、职业举报行为的若干意见》（沪市监消保〔2025〕298号，以下简称《若干意见》），明确将“通过夹带、掉包、造假、篡改商品信息、捏造事实等方式进行索赔或举报”列为牟利性职业索赔行为的判定特征，为治理利用AI技术造假的恶意索赔行为提供了制度依据。</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2</w:t>
      </w:r>
      <w:r>
        <w:rPr>
          <w:rFonts w:hint="default" w:hAnsi="宋体"/>
          <w:kern w:val="2"/>
          <w:szCs w:val="30"/>
          <w:lang w:val="en"/>
        </w:rPr>
        <w:t>．</w:t>
      </w:r>
      <w:r>
        <w:rPr>
          <w:rFonts w:hint="eastAsia" w:hAnsi="宋体"/>
          <w:spacing w:val="-6"/>
          <w:kern w:val="2"/>
          <w:sz w:val="32"/>
          <w:szCs w:val="30"/>
        </w:rPr>
        <w:t>健全线索移交和联合打击机制。市公安局积极会同市</w:t>
      </w:r>
      <w:r>
        <w:rPr>
          <w:rFonts w:hint="eastAsia" w:hAnsi="宋体"/>
          <w:spacing w:val="-6"/>
          <w:kern w:val="2"/>
          <w:sz w:val="32"/>
          <w:szCs w:val="30"/>
          <w:lang w:eastAsia="zh-CN"/>
        </w:rPr>
        <w:t>我局、</w:t>
      </w:r>
      <w:r>
        <w:rPr>
          <w:rFonts w:hint="eastAsia" w:hAnsi="宋体"/>
          <w:kern w:val="2"/>
          <w:szCs w:val="30"/>
          <w:lang w:eastAsia="zh-CN"/>
        </w:rPr>
        <w:t>市</w:t>
      </w:r>
      <w:r>
        <w:rPr>
          <w:rFonts w:hint="eastAsia" w:hAnsi="宋体"/>
          <w:kern w:val="2"/>
          <w:szCs w:val="30"/>
        </w:rPr>
        <w:t>商务委、市委网信办等部门，依法严惩利用AI技术恶意索赔行为，形成了多部门协同打击的工作格局。</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（二）强化技术监测与平台防控，提升主动发现能力</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kern w:val="2"/>
          <w:szCs w:val="30"/>
        </w:rPr>
        <w:t>开展AI恶意应用专项网络监测。</w:t>
      </w:r>
      <w:r>
        <w:rPr>
          <w:rFonts w:hint="eastAsia" w:hAnsi="宋体"/>
          <w:kern w:val="2"/>
          <w:szCs w:val="30"/>
          <w:lang w:eastAsia="zh-CN"/>
        </w:rPr>
        <w:t>我局</w:t>
      </w:r>
      <w:r>
        <w:rPr>
          <w:rFonts w:hint="eastAsia" w:hAnsi="宋体"/>
          <w:kern w:val="2"/>
          <w:szCs w:val="30"/>
        </w:rPr>
        <w:t>组织第三方监测机构开展AI恶意应用专项网络监测，实现“监测指令发起—监测机构接收—监测结果反馈—市局分派—区局处置—处置结果反馈”的全链条闭环监管，依法查办网络违法案件。</w:t>
      </w:r>
    </w:p>
    <w:p>
      <w:pPr>
        <w:keepNext w:val="0"/>
        <w:keepLines w:val="0"/>
        <w:pageBreakBefore w:val="0"/>
        <w:widowControl w:val="0"/>
        <w:tabs>
          <w:tab w:val="left" w:pos="790"/>
          <w:tab w:val="left" w:pos="948"/>
          <w:tab w:val="left" w:pos="1260"/>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2</w:t>
      </w:r>
      <w:r>
        <w:rPr>
          <w:rFonts w:hint="default" w:hAnsi="宋体"/>
          <w:kern w:val="2"/>
          <w:szCs w:val="30"/>
          <w:lang w:val="en"/>
        </w:rPr>
        <w:t>．</w:t>
      </w:r>
      <w:r>
        <w:rPr>
          <w:rFonts w:hint="eastAsia" w:hAnsi="宋体"/>
          <w:spacing w:val="-4"/>
          <w:kern w:val="2"/>
          <w:sz w:val="32"/>
          <w:szCs w:val="30"/>
        </w:rPr>
        <w:t>指导电商平台优化恶意索赔识别算法。市公安局等部门指</w:t>
      </w:r>
      <w:r>
        <w:rPr>
          <w:rFonts w:hint="eastAsia" w:hAnsi="宋体"/>
          <w:kern w:val="2"/>
          <w:szCs w:val="30"/>
        </w:rPr>
        <w:t>导电商平台企业优化完善恶意索赔行为识别算法模型，提高发现拦截水平，健全完善恶意索赔审核机制。</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3</w:t>
      </w:r>
      <w:r>
        <w:rPr>
          <w:rFonts w:hint="default" w:hAnsi="宋体"/>
          <w:kern w:val="2"/>
          <w:szCs w:val="30"/>
          <w:lang w:val="en"/>
        </w:rPr>
        <w:t>．</w:t>
      </w:r>
      <w:r>
        <w:rPr>
          <w:rFonts w:hint="eastAsia" w:hAnsi="宋体"/>
          <w:kern w:val="2"/>
          <w:szCs w:val="30"/>
        </w:rPr>
        <w:t>落实AI生成内容标识制度。2025年9月1日，《人工智能生成合成内容标识办法》及配套强制性国家标准正式实施。市委网信办根据《标识办法》有关要求，服务提供者对相应生成合成内容应按照标准添加显式标识和隐式标识，传播平台应当对生成合成内容进行识别并对公众进行提示。</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4</w:t>
      </w:r>
      <w:r>
        <w:rPr>
          <w:rFonts w:hint="default" w:hAnsi="宋体"/>
          <w:kern w:val="2"/>
          <w:szCs w:val="30"/>
          <w:lang w:val="en"/>
        </w:rPr>
        <w:t>．</w:t>
      </w:r>
      <w:r>
        <w:rPr>
          <w:rFonts w:hint="eastAsia" w:hAnsi="宋体"/>
          <w:kern w:val="2"/>
          <w:szCs w:val="30"/>
        </w:rPr>
        <w:t>开展“清朗·整治AI技术滥用”专项行动。2025年，市委网信办指导15家重点平台拦截清理82万余条违规信息，处置违规账号1400余个，下线违规智能体2700余个，显著减少违规AI信息。</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（三）完善商家维权机制，降低维权成本</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kern w:val="2"/>
          <w:szCs w:val="30"/>
        </w:rPr>
        <w:t>完善投诉举报异常名录。根据《若干意见》，</w:t>
      </w:r>
      <w:r>
        <w:rPr>
          <w:rFonts w:hint="eastAsia" w:hAnsi="宋体"/>
          <w:kern w:val="2"/>
          <w:szCs w:val="30"/>
          <w:lang w:eastAsia="zh-CN"/>
        </w:rPr>
        <w:t>我局</w:t>
      </w:r>
      <w:r>
        <w:rPr>
          <w:rFonts w:hint="eastAsia" w:hAnsi="宋体"/>
          <w:kern w:val="2"/>
          <w:szCs w:val="30"/>
        </w:rPr>
        <w:t>建立完善投诉举报异常名录，对列入异常名录人员的投诉举报依法严格审查，不符合受理或立案条件的不予受理、不予立案，对不符合奖励条件的不予奖励，有效减轻商家应对恶意投诉的负担。</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（四）加强行业引导，营造诚信环境</w:t>
      </w:r>
    </w:p>
    <w:p>
      <w:pPr>
        <w:keepNext w:val="0"/>
        <w:keepLines w:val="0"/>
        <w:pageBreakBefore w:val="0"/>
        <w:widowControl w:val="0"/>
        <w:tabs>
          <w:tab w:val="left" w:pos="790"/>
          <w:tab w:val="left" w:pos="948"/>
          <w:tab w:val="left" w:pos="1260"/>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spacing w:val="-6"/>
          <w:kern w:val="2"/>
          <w:sz w:val="32"/>
          <w:szCs w:val="30"/>
        </w:rPr>
        <w:t>开展法治宣传与合规指导。</w:t>
      </w:r>
      <w:r>
        <w:rPr>
          <w:rFonts w:hint="eastAsia" w:hAnsi="宋体"/>
          <w:spacing w:val="-6"/>
          <w:kern w:val="2"/>
          <w:sz w:val="32"/>
          <w:szCs w:val="30"/>
          <w:lang w:eastAsia="zh-CN"/>
        </w:rPr>
        <w:t>我局</w:t>
      </w:r>
      <w:r>
        <w:rPr>
          <w:rFonts w:hint="eastAsia" w:hAnsi="宋体"/>
          <w:spacing w:val="-6"/>
          <w:kern w:val="2"/>
          <w:sz w:val="32"/>
          <w:szCs w:val="30"/>
        </w:rPr>
        <w:t>从源头引导企业合规经营，</w:t>
      </w:r>
      <w:r>
        <w:rPr>
          <w:rFonts w:hint="eastAsia" w:hAnsi="宋体"/>
          <w:kern w:val="2"/>
          <w:szCs w:val="30"/>
        </w:rPr>
        <w:t>发布《涉企高频投诉举报“避坑指南”》，涵盖政策法规、食品经营、标识标签、广告宣传、刑事案例等42项典型行为，形成“典型案例</w:t>
      </w:r>
      <w:r>
        <w:rPr>
          <w:rFonts w:hint="eastAsia" w:hAnsi="宋体"/>
          <w:kern w:val="2"/>
          <w:szCs w:val="30"/>
          <w:lang w:eastAsia="zh-CN"/>
        </w:rPr>
        <w:t>＋</w:t>
      </w:r>
      <w:r>
        <w:rPr>
          <w:rFonts w:hint="eastAsia" w:hAnsi="宋体"/>
          <w:kern w:val="2"/>
          <w:szCs w:val="30"/>
        </w:rPr>
        <w:t>案例解析</w:t>
      </w:r>
      <w:r>
        <w:rPr>
          <w:rFonts w:hint="eastAsia" w:hAnsi="宋体"/>
          <w:kern w:val="2"/>
          <w:szCs w:val="30"/>
          <w:lang w:eastAsia="zh-CN"/>
        </w:rPr>
        <w:t>＋</w:t>
      </w:r>
      <w:r>
        <w:rPr>
          <w:rFonts w:hint="eastAsia" w:hAnsi="宋体"/>
          <w:kern w:val="2"/>
          <w:szCs w:val="30"/>
        </w:rPr>
        <w:t>合规提示”体系。</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2</w:t>
      </w:r>
      <w:r>
        <w:rPr>
          <w:rFonts w:hint="default" w:hAnsi="宋体"/>
          <w:kern w:val="2"/>
          <w:szCs w:val="30"/>
          <w:lang w:val="en"/>
        </w:rPr>
        <w:t>．</w:t>
      </w:r>
      <w:r>
        <w:rPr>
          <w:rFonts w:hint="eastAsia" w:hAnsi="宋体"/>
          <w:spacing w:val="-4"/>
          <w:kern w:val="2"/>
          <w:sz w:val="32"/>
          <w:szCs w:val="30"/>
        </w:rPr>
        <w:t>推动平台落实合规管理主体责任。</w:t>
      </w:r>
      <w:r>
        <w:rPr>
          <w:rFonts w:hint="eastAsia" w:hAnsi="宋体"/>
          <w:spacing w:val="-4"/>
          <w:kern w:val="2"/>
          <w:sz w:val="32"/>
          <w:szCs w:val="30"/>
          <w:lang w:eastAsia="zh-CN"/>
        </w:rPr>
        <w:t>我局</w:t>
      </w:r>
      <w:r>
        <w:rPr>
          <w:rFonts w:hint="eastAsia" w:hAnsi="宋体"/>
          <w:spacing w:val="-4"/>
          <w:kern w:val="2"/>
          <w:sz w:val="32"/>
          <w:szCs w:val="30"/>
        </w:rPr>
        <w:t>发布的《关于促进</w:t>
      </w:r>
      <w:r>
        <w:rPr>
          <w:rFonts w:hint="eastAsia" w:hAnsi="宋体"/>
          <w:kern w:val="2"/>
          <w:szCs w:val="30"/>
        </w:rPr>
        <w:t>互联网平台广告规范健康发展的指导意见》（沪市监广告〔2025〕354号）明确推动平台运用大数据、人工智能等技术提升审核和风险防控效能。</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黑体" w:hAnsi="黑体" w:eastAsia="黑体" w:cs="黑体"/>
          <w:kern w:val="2"/>
          <w:szCs w:val="30"/>
        </w:rPr>
      </w:pPr>
      <w:r>
        <w:rPr>
          <w:rFonts w:hint="eastAsia" w:ascii="黑体" w:hAnsi="黑体" w:eastAsia="黑体" w:cs="黑体"/>
          <w:kern w:val="2"/>
          <w:szCs w:val="30"/>
        </w:rPr>
        <w:t>二、下一步工作计划</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（一）深化协同治理，加大专项整治力度</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kern w:val="2"/>
          <w:szCs w:val="30"/>
        </w:rPr>
        <w:t>加大AI技术滥用治理力度。市委网信办拟将“教授利用AI制作虚假商品损坏信息恶意索赔教程”纳入内容平台治理清理范围，切断恶意索赔教程的传播链条。会同相关行业主管部门，共同打击违法犯罪行为，营造良好网络营商环境。</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2</w:t>
      </w:r>
      <w:r>
        <w:rPr>
          <w:rFonts w:hint="default" w:hAnsi="宋体"/>
          <w:kern w:val="2"/>
          <w:szCs w:val="30"/>
          <w:lang w:val="en"/>
        </w:rPr>
        <w:t>．</w:t>
      </w:r>
      <w:r>
        <w:rPr>
          <w:rFonts w:hint="eastAsia" w:hAnsi="宋体"/>
          <w:spacing w:val="-4"/>
          <w:kern w:val="2"/>
          <w:sz w:val="32"/>
          <w:szCs w:val="30"/>
        </w:rPr>
        <w:t>探索跨平台协同治理路径。市公安局针对电商领域不法分</w:t>
      </w:r>
      <w:r>
        <w:rPr>
          <w:rFonts w:hint="eastAsia" w:hAnsi="宋体"/>
          <w:kern w:val="2"/>
          <w:szCs w:val="30"/>
        </w:rPr>
        <w:t>子利用AI工具造假实施恶意索赔行为，指导电商平台加强跨平台联合管控，将利用AI技术实施恶意索赔行为的账号纳入风险名单重点关注。</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（二）强化技术赋能，筑牢风险防控防线</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kern w:val="2"/>
          <w:szCs w:val="30"/>
        </w:rPr>
        <w:t>推广AI生成内容检测技术。市委网信办持续指导企业加强相关技术能力的建设，依照退款频率制定用户风控政策、举证图片饱和度伪造分析、以视频代替图片举证和设置商家救济申诉通道等方式，尽量减少商家损失。也将积极发挥我市人工智能治理协同机制作用，加强属地间人工智能企业和应用企业的交流合作，共同研究应对举措。</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2</w:t>
      </w:r>
      <w:r>
        <w:rPr>
          <w:rFonts w:hint="default" w:hAnsi="宋体"/>
          <w:kern w:val="2"/>
          <w:szCs w:val="30"/>
          <w:lang w:val="en"/>
        </w:rPr>
        <w:t>．</w:t>
      </w:r>
      <w:r>
        <w:rPr>
          <w:rFonts w:hint="eastAsia" w:hAnsi="宋体"/>
          <w:kern w:val="2"/>
          <w:szCs w:val="30"/>
        </w:rPr>
        <w:t>强化AI生成内容审核。市公安局将加强人工智能安全检测，压实企业主体责任，明确AI生成内容显式标识与隐式标识的审查要求，指导AI大模型企业严格审核“商品破损”“货物瑕疵”相关生成内容，严防利用人工智能技术实施违法犯罪行为。</w:t>
      </w:r>
    </w:p>
    <w:p>
      <w:pPr>
        <w:keepNext w:val="0"/>
        <w:keepLines w:val="0"/>
        <w:pageBreakBefore w:val="0"/>
        <w:widowControl w:val="0"/>
        <w:tabs>
          <w:tab w:val="left" w:pos="790"/>
          <w:tab w:val="left" w:pos="948"/>
          <w:tab w:val="left" w:pos="1260"/>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3</w:t>
      </w:r>
      <w:r>
        <w:rPr>
          <w:rFonts w:hint="default" w:hAnsi="宋体"/>
          <w:kern w:val="2"/>
          <w:szCs w:val="30"/>
          <w:lang w:val="en"/>
        </w:rPr>
        <w:t>．</w:t>
      </w:r>
      <w:r>
        <w:rPr>
          <w:rFonts w:hint="eastAsia" w:hAnsi="宋体"/>
          <w:spacing w:val="-4"/>
          <w:kern w:val="2"/>
          <w:sz w:val="32"/>
          <w:szCs w:val="30"/>
        </w:rPr>
        <w:t>深化全链条网络监测监管。</w:t>
      </w:r>
      <w:r>
        <w:rPr>
          <w:rFonts w:hint="eastAsia" w:hAnsi="宋体"/>
          <w:spacing w:val="-4"/>
          <w:kern w:val="2"/>
          <w:sz w:val="32"/>
          <w:szCs w:val="30"/>
          <w:lang w:eastAsia="zh-CN"/>
        </w:rPr>
        <w:t>我局</w:t>
      </w:r>
      <w:r>
        <w:rPr>
          <w:rFonts w:hint="eastAsia" w:hAnsi="宋体"/>
          <w:spacing w:val="-4"/>
          <w:kern w:val="2"/>
          <w:sz w:val="32"/>
          <w:szCs w:val="30"/>
        </w:rPr>
        <w:t>继续优化投诉举报风险预</w:t>
      </w:r>
      <w:r>
        <w:rPr>
          <w:rFonts w:hint="eastAsia" w:hAnsi="宋体"/>
          <w:kern w:val="2"/>
          <w:szCs w:val="30"/>
        </w:rPr>
        <w:t>警系统，完善闭环流程，提升对AI恶意应用的主动发现和快速处置能力。</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（三）加强行业引导，提升商家防范能力</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1</w:t>
      </w:r>
      <w:r>
        <w:rPr>
          <w:rFonts w:hint="default" w:hAnsi="宋体"/>
          <w:kern w:val="2"/>
          <w:szCs w:val="30"/>
          <w:lang w:val="en"/>
        </w:rPr>
        <w:t>．</w:t>
      </w:r>
      <w:r>
        <w:rPr>
          <w:rFonts w:hint="eastAsia" w:hAnsi="宋体"/>
          <w:spacing w:val="-4"/>
          <w:kern w:val="2"/>
          <w:sz w:val="32"/>
          <w:szCs w:val="30"/>
        </w:rPr>
        <w:t>开展中小商家风险防范培训。</w:t>
      </w:r>
      <w:r>
        <w:rPr>
          <w:rFonts w:hint="eastAsia" w:hAnsi="宋体"/>
          <w:spacing w:val="-4"/>
          <w:kern w:val="2"/>
          <w:sz w:val="32"/>
          <w:szCs w:val="30"/>
          <w:lang w:eastAsia="zh-CN"/>
        </w:rPr>
        <w:t>我局</w:t>
      </w:r>
      <w:r>
        <w:rPr>
          <w:rFonts w:hint="eastAsia" w:hAnsi="宋体"/>
          <w:spacing w:val="-4"/>
          <w:kern w:val="2"/>
          <w:sz w:val="32"/>
          <w:szCs w:val="30"/>
        </w:rPr>
        <w:t>面向中小电商商家，普</w:t>
      </w:r>
      <w:r>
        <w:rPr>
          <w:rFonts w:hint="eastAsia" w:hAnsi="宋体"/>
          <w:kern w:val="2"/>
          <w:szCs w:val="30"/>
        </w:rPr>
        <w:t>及AI造假证据留存方法和维权路径，提升商家自我保护能力。通过以案释法、发布典型案例等方式，揭露AI恶意索赔的常见套路。</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2</w:t>
      </w:r>
      <w:r>
        <w:rPr>
          <w:rFonts w:hint="default" w:hAnsi="宋体"/>
          <w:kern w:val="2"/>
          <w:szCs w:val="30"/>
          <w:lang w:val="en"/>
        </w:rPr>
        <w:t>．</w:t>
      </w:r>
      <w:r>
        <w:rPr>
          <w:rFonts w:hint="eastAsia" w:hAnsi="宋体"/>
          <w:kern w:val="2"/>
          <w:szCs w:val="30"/>
        </w:rPr>
        <w:t>营造诚信消费环境。</w:t>
      </w:r>
      <w:r>
        <w:rPr>
          <w:rFonts w:hint="eastAsia" w:hAnsi="宋体"/>
          <w:kern w:val="2"/>
          <w:szCs w:val="30"/>
          <w:lang w:eastAsia="zh-CN"/>
        </w:rPr>
        <w:t>我局</w:t>
      </w:r>
      <w:r>
        <w:rPr>
          <w:rFonts w:hint="eastAsia" w:hAnsi="宋体"/>
          <w:kern w:val="2"/>
          <w:szCs w:val="30"/>
        </w:rPr>
        <w:t>多渠道宣传利用AI造假实施恶意索赔的法律后果，引导消费者遵守诚实信用原则。鼓励电商平台优化售后规则，完善商家申诉救济机制，平衡消费者权益保护与经营者合法权益维护。</w:t>
      </w:r>
    </w:p>
    <w:p>
      <w:pPr>
        <w:keepNext w:val="0"/>
        <w:keepLines w:val="0"/>
        <w:pageBreakBefore w:val="0"/>
        <w:widowControl w:val="0"/>
        <w:tabs>
          <w:tab w:val="left" w:pos="790"/>
          <w:tab w:val="left" w:pos="948"/>
          <w:tab w:val="left" w:pos="1260"/>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3</w:t>
      </w:r>
      <w:r>
        <w:rPr>
          <w:rFonts w:hint="default" w:hAnsi="宋体"/>
          <w:kern w:val="2"/>
          <w:szCs w:val="30"/>
          <w:lang w:val="en"/>
        </w:rPr>
        <w:t>．</w:t>
      </w:r>
      <w:r>
        <w:rPr>
          <w:rFonts w:hint="eastAsia" w:hAnsi="宋体"/>
          <w:spacing w:val="-4"/>
          <w:kern w:val="2"/>
          <w:sz w:val="32"/>
          <w:szCs w:val="30"/>
        </w:rPr>
        <w:t>做好与总局规章的衔接落实。国家市场监督管理总局《市</w:t>
      </w:r>
      <w:r>
        <w:rPr>
          <w:rFonts w:hint="eastAsia" w:hAnsi="宋体"/>
          <w:kern w:val="2"/>
          <w:szCs w:val="30"/>
        </w:rPr>
        <w:t>场监督管理投诉举报处理办法》（总局令第121号）将于2026年4月15日起施行。</w:t>
      </w:r>
      <w:r>
        <w:rPr>
          <w:rFonts w:hint="eastAsia" w:hAnsi="宋体"/>
          <w:kern w:val="2"/>
          <w:szCs w:val="30"/>
          <w:lang w:eastAsia="zh-CN"/>
        </w:rPr>
        <w:t>我局</w:t>
      </w:r>
      <w:r>
        <w:rPr>
          <w:rFonts w:hint="eastAsia" w:hAnsi="宋体"/>
          <w:kern w:val="2"/>
          <w:szCs w:val="30"/>
        </w:rPr>
        <w:t>将严格依照该办法及本市意见规定，依法处理投诉举报，对非为生活消费需要的投诉不予受理，切实维护经营者合法权益和公平交易市场秩序。</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楷体_GB2312" w:hAnsi="楷体_GB2312" w:eastAsia="楷体_GB2312" w:cs="楷体_GB2312"/>
          <w:kern w:val="2"/>
          <w:szCs w:val="30"/>
        </w:rPr>
      </w:pPr>
      <w:r>
        <w:rPr>
          <w:rFonts w:hint="eastAsia" w:ascii="楷体_GB2312" w:hAnsi="楷体_GB2312" w:eastAsia="楷体_GB2312" w:cs="楷体_GB2312"/>
          <w:kern w:val="2"/>
          <w:szCs w:val="30"/>
        </w:rPr>
        <w:t>（四）持续攻坚难点问题</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rPr>
        <w:t>AI造假图片识别技术成本高、识别难度大。当前AI生成内容检测技术仍处于发展阶段，识别准确率有待提升，且不法分子通过截图、PS、去标识工具等方式规避检测。对此，</w:t>
      </w:r>
      <w:r>
        <w:rPr>
          <w:rFonts w:hint="eastAsia" w:hAnsi="宋体"/>
          <w:kern w:val="2"/>
          <w:szCs w:val="30"/>
          <w:lang w:eastAsia="zh-CN"/>
        </w:rPr>
        <w:t>我局</w:t>
      </w:r>
      <w:r>
        <w:rPr>
          <w:rFonts w:hint="eastAsia" w:hAnsi="宋体"/>
          <w:kern w:val="2"/>
          <w:szCs w:val="30"/>
        </w:rPr>
        <w:t>将配合市委网信办、市公安局持续跟踪技术发展前沿，推动低成本、高效率检测工具的研发和应用，同时通过跨平台协同、账号风险标注等方式，从行为特征角度辅助识别。</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941"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w:t>
      </w:r>
      <w:r>
        <w:rPr>
          <w:rFonts w:hint="eastAsia"/>
          <w:kern w:val="2"/>
          <w:szCs w:val="32"/>
          <w:lang w:val="en-US" w:eastAsia="zh-CN"/>
        </w:rPr>
        <w:t>26</w:t>
      </w:r>
      <w:r>
        <w:rPr>
          <w:rFonts w:hint="eastAsia" w:hAnsi="宋体"/>
          <w:kern w:val="2"/>
          <w:szCs w:val="30"/>
        </w:rPr>
        <w:t>年</w:t>
      </w:r>
      <w:r>
        <w:rPr>
          <w:rFonts w:hint="eastAsia" w:hAnsi="宋体"/>
          <w:kern w:val="2"/>
          <w:szCs w:val="30"/>
          <w:lang w:val="en-US" w:eastAsia="zh-CN"/>
        </w:rPr>
        <w:t>4</w:t>
      </w:r>
      <w:r>
        <w:rPr>
          <w:rFonts w:hint="eastAsia" w:hAnsi="宋体"/>
          <w:kern w:val="2"/>
          <w:szCs w:val="30"/>
        </w:rPr>
        <w:t>月</w:t>
      </w:r>
      <w:r>
        <w:rPr>
          <w:rFonts w:hint="eastAsia" w:hAnsi="宋体"/>
          <w:kern w:val="2"/>
          <w:szCs w:val="30"/>
          <w:lang w:val="en-US" w:eastAsia="zh-CN"/>
        </w:rPr>
        <w:t>17</w:t>
      </w:r>
      <w:r>
        <w:rPr>
          <w:rFonts w:hint="eastAsia" w:hAnsi="宋体"/>
          <w:kern w:val="2"/>
          <w:szCs w:val="30"/>
        </w:rPr>
        <w:t>日</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240" w:lineRule="auto"/>
        <w:ind w:firstLine="624"/>
        <w:textAlignment w:val="auto"/>
        <w:rPr>
          <w:rFonts w:hint="eastAsia" w:hAnsi="宋体"/>
          <w:kern w:val="2"/>
          <w:szCs w:val="30"/>
        </w:rPr>
      </w:pPr>
    </w:p>
    <w:p>
      <w:pPr>
        <w:keepNext w:val="0"/>
        <w:keepLines w:val="0"/>
        <w:pageBreakBefore w:val="0"/>
        <w:widowControl w:val="0"/>
        <w:tabs>
          <w:tab w:val="left" w:pos="4536"/>
        </w:tabs>
        <w:kinsoku/>
        <w:wordWrap/>
        <w:overflowPunct w:val="0"/>
        <w:topLinePunct w:val="0"/>
        <w:autoSpaceDE/>
        <w:autoSpaceDN/>
        <w:bidi w:val="0"/>
        <w:adjustRightInd w:val="0"/>
        <w:snapToGrid w:val="0"/>
        <w:spacing w:line="336" w:lineRule="auto"/>
        <w:textAlignment w:val="auto"/>
        <w:rPr>
          <w:rFonts w:hint="eastAsia"/>
          <w:kern w:val="2"/>
          <w:sz w:val="28"/>
          <w:szCs w:val="28"/>
        </w:rPr>
      </w:pPr>
      <w:r>
        <w:rPr>
          <w:rFonts w:hint="eastAsia"/>
          <w:kern w:val="2"/>
          <w:sz w:val="28"/>
          <w:szCs w:val="28"/>
        </w:rPr>
        <w:t>联系人姓名：马卉                     联系电话：64220000×2746</w:t>
      </w:r>
    </w:p>
    <w:p>
      <w:pPr>
        <w:keepNext w:val="0"/>
        <w:keepLines w:val="0"/>
        <w:pageBreakBefore w:val="0"/>
        <w:widowControl w:val="0"/>
        <w:tabs>
          <w:tab w:val="left" w:pos="1418"/>
        </w:tabs>
        <w:kinsoku/>
        <w:wordWrap/>
        <w:overflowPunct w:val="0"/>
        <w:topLinePunct w:val="0"/>
        <w:autoSpaceDE/>
        <w:autoSpaceDN/>
        <w:bidi w:val="0"/>
        <w:adjustRightInd w:val="0"/>
        <w:snapToGrid w:val="0"/>
        <w:spacing w:line="336" w:lineRule="auto"/>
        <w:textAlignment w:val="auto"/>
        <w:rPr>
          <w:rFonts w:hint="eastAsia"/>
          <w:kern w:val="2"/>
          <w:sz w:val="28"/>
          <w:szCs w:val="28"/>
        </w:rPr>
      </w:pPr>
      <w:r>
        <w:rPr>
          <w:rFonts w:hint="eastAsia"/>
          <w:spacing w:val="48"/>
          <w:kern w:val="2"/>
          <w:sz w:val="28"/>
          <w:szCs w:val="28"/>
        </w:rPr>
        <w:t>联系</w:t>
      </w:r>
      <w:r>
        <w:rPr>
          <w:spacing w:val="48"/>
          <w:kern w:val="2"/>
          <w:sz w:val="28"/>
          <w:szCs w:val="28"/>
        </w:rPr>
        <w:t>地</w:t>
      </w:r>
      <w:r>
        <w:rPr>
          <w:kern w:val="2"/>
          <w:sz w:val="28"/>
          <w:szCs w:val="28"/>
        </w:rPr>
        <w:t>址：</w:t>
      </w:r>
      <w:r>
        <w:rPr>
          <w:rFonts w:hint="eastAsia"/>
          <w:kern w:val="2"/>
          <w:sz w:val="28"/>
          <w:szCs w:val="28"/>
        </w:rPr>
        <w:t>肇嘉浜路301号</w:t>
      </w:r>
      <w:r>
        <w:rPr>
          <w:kern w:val="2"/>
          <w:sz w:val="28"/>
          <w:szCs w:val="28"/>
        </w:rPr>
        <w:t xml:space="preserve">   </w:t>
      </w:r>
      <w:r>
        <w:rPr>
          <w:rFonts w:hint="eastAsia"/>
          <w:kern w:val="2"/>
          <w:sz w:val="28"/>
          <w:szCs w:val="28"/>
        </w:rPr>
        <w:t xml:space="preserve">        </w:t>
      </w:r>
      <w:r>
        <w:rPr>
          <w:kern w:val="2"/>
          <w:sz w:val="28"/>
          <w:szCs w:val="28"/>
        </w:rPr>
        <w:t>邮政编码：</w:t>
      </w:r>
      <w:r>
        <w:rPr>
          <w:rFonts w:hint="eastAsia"/>
          <w:kern w:val="2"/>
          <w:sz w:val="28"/>
          <w:szCs w:val="28"/>
        </w:rPr>
        <w:t>200032</w:t>
      </w:r>
    </w:p>
    <w:sectPr>
      <w:footerReference r:id="rId3" w:type="default"/>
      <w:footerReference r:id="rId4" w:type="even"/>
      <w:pgSz w:w="11906" w:h="16838"/>
      <w:pgMar w:top="2098" w:right="1474" w:bottom="1984" w:left="1588" w:header="851" w:footer="1417" w:gutter="0"/>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jc w:val="right"/>
      <w:rPr>
        <w:rFonts w:hint="eastAsia" w:ascii="宋体" w:hAnsi="宋体" w:eastAsia="宋体"/>
        <w:sz w:val="28"/>
        <w:szCs w:val="28"/>
      </w:rPr>
    </w:pPr>
    <w:r>
      <w:rPr>
        <w:rFonts w:hint="eastAsia" w:ascii="宋体" w:hAnsi="宋体" w:eastAsia="宋体"/>
        <w:kern w:val="0"/>
        <w:sz w:val="28"/>
        <w:szCs w:val="21"/>
      </w:rPr>
      <w:t>—</w:t>
    </w:r>
    <w:r>
      <w:rPr>
        <w:rFonts w:ascii="宋体" w:hAnsi="宋体" w:eastAsia="宋体"/>
        <w:kern w:val="0"/>
        <w:sz w:val="28"/>
        <w:szCs w:val="21"/>
      </w:rPr>
      <w:t xml:space="preserve"> </w:t>
    </w:r>
    <w:r>
      <w:rPr>
        <w:rFonts w:ascii="宋体" w:hAnsi="宋体" w:eastAsia="宋体"/>
        <w:kern w:val="0"/>
        <w:sz w:val="28"/>
        <w:szCs w:val="21"/>
      </w:rPr>
      <w:fldChar w:fldCharType="begin"/>
    </w:r>
    <w:r>
      <w:rPr>
        <w:rFonts w:ascii="宋体" w:hAnsi="宋体" w:eastAsia="宋体"/>
        <w:kern w:val="0"/>
        <w:sz w:val="28"/>
        <w:szCs w:val="21"/>
      </w:rPr>
      <w:instrText xml:space="preserve"> PAGE </w:instrText>
    </w:r>
    <w:r>
      <w:rPr>
        <w:rFonts w:ascii="宋体" w:hAnsi="宋体" w:eastAsia="宋体"/>
        <w:kern w:val="0"/>
        <w:sz w:val="28"/>
        <w:szCs w:val="21"/>
      </w:rPr>
      <w:fldChar w:fldCharType="separate"/>
    </w:r>
    <w:r>
      <w:rPr>
        <w:rFonts w:ascii="宋体" w:hAnsi="宋体" w:eastAsia="宋体"/>
        <w:kern w:val="0"/>
        <w:sz w:val="28"/>
        <w:szCs w:val="21"/>
      </w:rPr>
      <w:t>1</w:t>
    </w:r>
    <w:r>
      <w:rPr>
        <w:rFonts w:ascii="宋体" w:hAnsi="宋体" w:eastAsia="宋体"/>
        <w:kern w:val="0"/>
        <w:sz w:val="28"/>
        <w:szCs w:val="21"/>
      </w:rPr>
      <w:fldChar w:fldCharType="end"/>
    </w:r>
    <w:r>
      <w:rPr>
        <w:rFonts w:ascii="宋体" w:hAnsi="宋体" w:eastAsia="宋体"/>
        <w:kern w:val="0"/>
        <w:sz w:val="28"/>
        <w:szCs w:val="21"/>
      </w:rPr>
      <w:t xml:space="preserve"> </w:t>
    </w:r>
    <w:r>
      <w:rPr>
        <w:rFonts w:hint="eastAsia" w:ascii="宋体" w:hAnsi="宋体" w:eastAsia="宋体"/>
        <w:kern w:val="0"/>
        <w:sz w:val="28"/>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rPr>
        <w:rFonts w:hint="eastAsia" w:ascii="宋体" w:hAnsi="宋体" w:eastAsia="宋体"/>
        <w:sz w:val="28"/>
        <w:szCs w:val="28"/>
      </w:rPr>
    </w:pPr>
    <w:r>
      <w:rPr>
        <w:rFonts w:hint="eastAsia" w:ascii="宋体" w:hAnsi="宋体" w:eastAsia="宋体"/>
        <w:kern w:val="0"/>
        <w:sz w:val="28"/>
        <w:szCs w:val="21"/>
      </w:rPr>
      <w:t>—</w:t>
    </w:r>
    <w:r>
      <w:rPr>
        <w:rFonts w:ascii="宋体" w:hAnsi="宋体" w:eastAsia="宋体"/>
        <w:kern w:val="0"/>
        <w:sz w:val="28"/>
        <w:szCs w:val="21"/>
      </w:rPr>
      <w:t xml:space="preserve"> </w:t>
    </w:r>
    <w:r>
      <w:rPr>
        <w:rFonts w:ascii="宋体" w:hAnsi="宋体" w:eastAsia="宋体"/>
        <w:kern w:val="0"/>
        <w:sz w:val="28"/>
        <w:szCs w:val="21"/>
      </w:rPr>
      <w:fldChar w:fldCharType="begin"/>
    </w:r>
    <w:r>
      <w:rPr>
        <w:rFonts w:ascii="宋体" w:hAnsi="宋体" w:eastAsia="宋体"/>
        <w:kern w:val="0"/>
        <w:sz w:val="28"/>
        <w:szCs w:val="21"/>
      </w:rPr>
      <w:instrText xml:space="preserve"> PAGE </w:instrText>
    </w:r>
    <w:r>
      <w:rPr>
        <w:rFonts w:ascii="宋体" w:hAnsi="宋体" w:eastAsia="宋体"/>
        <w:kern w:val="0"/>
        <w:sz w:val="28"/>
        <w:szCs w:val="21"/>
      </w:rPr>
      <w:fldChar w:fldCharType="separate"/>
    </w:r>
    <w:r>
      <w:rPr>
        <w:rFonts w:ascii="宋体" w:hAnsi="宋体" w:eastAsia="宋体"/>
        <w:kern w:val="0"/>
        <w:sz w:val="28"/>
        <w:szCs w:val="21"/>
      </w:rPr>
      <w:t>2</w:t>
    </w:r>
    <w:r>
      <w:rPr>
        <w:rFonts w:ascii="宋体" w:hAnsi="宋体" w:eastAsia="宋体"/>
        <w:kern w:val="0"/>
        <w:sz w:val="28"/>
        <w:szCs w:val="21"/>
      </w:rPr>
      <w:fldChar w:fldCharType="end"/>
    </w:r>
    <w:r>
      <w:rPr>
        <w:rFonts w:ascii="宋体" w:hAnsi="宋体" w:eastAsia="宋体"/>
        <w:kern w:val="0"/>
        <w:sz w:val="28"/>
        <w:szCs w:val="21"/>
      </w:rPr>
      <w:t xml:space="preserve"> </w:t>
    </w:r>
    <w:r>
      <w:rPr>
        <w:rFonts w:hint="eastAsia" w:ascii="宋体" w:hAnsi="宋体" w:eastAsia="宋体"/>
        <w:kern w:val="0"/>
        <w:sz w:val="28"/>
        <w:szCs w:val="21"/>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439"/>
    <w:rsid w:val="00035696"/>
    <w:rsid w:val="000817BA"/>
    <w:rsid w:val="000A39A2"/>
    <w:rsid w:val="000A419C"/>
    <w:rsid w:val="000C3B4A"/>
    <w:rsid w:val="000E33F5"/>
    <w:rsid w:val="000E691C"/>
    <w:rsid w:val="000F63E5"/>
    <w:rsid w:val="000F70D2"/>
    <w:rsid w:val="00135D45"/>
    <w:rsid w:val="00147CB3"/>
    <w:rsid w:val="00155F55"/>
    <w:rsid w:val="001934C5"/>
    <w:rsid w:val="00195154"/>
    <w:rsid w:val="0019664C"/>
    <w:rsid w:val="001B44A2"/>
    <w:rsid w:val="001D34C9"/>
    <w:rsid w:val="001F609F"/>
    <w:rsid w:val="00222EB1"/>
    <w:rsid w:val="00230483"/>
    <w:rsid w:val="00236AE8"/>
    <w:rsid w:val="00242AC7"/>
    <w:rsid w:val="002502CF"/>
    <w:rsid w:val="00271627"/>
    <w:rsid w:val="002873C4"/>
    <w:rsid w:val="002A0B42"/>
    <w:rsid w:val="002A66CC"/>
    <w:rsid w:val="002B2EF8"/>
    <w:rsid w:val="002E3255"/>
    <w:rsid w:val="003000A8"/>
    <w:rsid w:val="0030320C"/>
    <w:rsid w:val="00325B2C"/>
    <w:rsid w:val="003418F1"/>
    <w:rsid w:val="00347E71"/>
    <w:rsid w:val="00376036"/>
    <w:rsid w:val="00390EBF"/>
    <w:rsid w:val="00393724"/>
    <w:rsid w:val="003C238A"/>
    <w:rsid w:val="003C2619"/>
    <w:rsid w:val="003D77B0"/>
    <w:rsid w:val="00411BD1"/>
    <w:rsid w:val="0041422D"/>
    <w:rsid w:val="004227F4"/>
    <w:rsid w:val="004677E3"/>
    <w:rsid w:val="00486CAD"/>
    <w:rsid w:val="004905CC"/>
    <w:rsid w:val="00490BFE"/>
    <w:rsid w:val="004D0834"/>
    <w:rsid w:val="00510129"/>
    <w:rsid w:val="0052529E"/>
    <w:rsid w:val="00537088"/>
    <w:rsid w:val="00542A7E"/>
    <w:rsid w:val="00556BBB"/>
    <w:rsid w:val="00565ED8"/>
    <w:rsid w:val="00571F3E"/>
    <w:rsid w:val="00577F5B"/>
    <w:rsid w:val="00590040"/>
    <w:rsid w:val="00595D94"/>
    <w:rsid w:val="005A3C49"/>
    <w:rsid w:val="005C1AD4"/>
    <w:rsid w:val="005C6529"/>
    <w:rsid w:val="005D5593"/>
    <w:rsid w:val="005E3529"/>
    <w:rsid w:val="005F1B1C"/>
    <w:rsid w:val="00607416"/>
    <w:rsid w:val="00616ADB"/>
    <w:rsid w:val="0062563B"/>
    <w:rsid w:val="00633903"/>
    <w:rsid w:val="00644160"/>
    <w:rsid w:val="006C1C8F"/>
    <w:rsid w:val="006F1808"/>
    <w:rsid w:val="006F206C"/>
    <w:rsid w:val="00704BFA"/>
    <w:rsid w:val="00722E03"/>
    <w:rsid w:val="0072692E"/>
    <w:rsid w:val="00730D14"/>
    <w:rsid w:val="00734AB2"/>
    <w:rsid w:val="007404CD"/>
    <w:rsid w:val="0076459D"/>
    <w:rsid w:val="007663F8"/>
    <w:rsid w:val="007706EA"/>
    <w:rsid w:val="007A33FA"/>
    <w:rsid w:val="007E4D69"/>
    <w:rsid w:val="007F6972"/>
    <w:rsid w:val="007F7091"/>
    <w:rsid w:val="00810551"/>
    <w:rsid w:val="00845F72"/>
    <w:rsid w:val="00847FB4"/>
    <w:rsid w:val="00854A80"/>
    <w:rsid w:val="00857AAE"/>
    <w:rsid w:val="00876D11"/>
    <w:rsid w:val="00880938"/>
    <w:rsid w:val="008A38EF"/>
    <w:rsid w:val="008A731A"/>
    <w:rsid w:val="008B3241"/>
    <w:rsid w:val="008C2034"/>
    <w:rsid w:val="008F4552"/>
    <w:rsid w:val="00905297"/>
    <w:rsid w:val="00912DF6"/>
    <w:rsid w:val="00921677"/>
    <w:rsid w:val="009A60E8"/>
    <w:rsid w:val="009A6B99"/>
    <w:rsid w:val="009D550C"/>
    <w:rsid w:val="009D5C6B"/>
    <w:rsid w:val="009E1D1B"/>
    <w:rsid w:val="009F2A43"/>
    <w:rsid w:val="00A21BD9"/>
    <w:rsid w:val="00A23490"/>
    <w:rsid w:val="00A54DA6"/>
    <w:rsid w:val="00A661A0"/>
    <w:rsid w:val="00A722E2"/>
    <w:rsid w:val="00AA03DE"/>
    <w:rsid w:val="00AC4551"/>
    <w:rsid w:val="00AD123D"/>
    <w:rsid w:val="00AE5706"/>
    <w:rsid w:val="00AF6969"/>
    <w:rsid w:val="00B21E8E"/>
    <w:rsid w:val="00B247BD"/>
    <w:rsid w:val="00B418AB"/>
    <w:rsid w:val="00B46849"/>
    <w:rsid w:val="00B54185"/>
    <w:rsid w:val="00B56181"/>
    <w:rsid w:val="00B565EF"/>
    <w:rsid w:val="00B56FE8"/>
    <w:rsid w:val="00B60F8E"/>
    <w:rsid w:val="00B645E7"/>
    <w:rsid w:val="00BC2222"/>
    <w:rsid w:val="00BD4F44"/>
    <w:rsid w:val="00BD5007"/>
    <w:rsid w:val="00BF1B08"/>
    <w:rsid w:val="00BF7BC1"/>
    <w:rsid w:val="00C02EBC"/>
    <w:rsid w:val="00C13FA6"/>
    <w:rsid w:val="00C16D4A"/>
    <w:rsid w:val="00C51DBB"/>
    <w:rsid w:val="00C56A64"/>
    <w:rsid w:val="00C671CF"/>
    <w:rsid w:val="00C70762"/>
    <w:rsid w:val="00CC4246"/>
    <w:rsid w:val="00D14D45"/>
    <w:rsid w:val="00D23E0F"/>
    <w:rsid w:val="00D40607"/>
    <w:rsid w:val="00D51077"/>
    <w:rsid w:val="00D75497"/>
    <w:rsid w:val="00D81803"/>
    <w:rsid w:val="00D82F10"/>
    <w:rsid w:val="00DA3865"/>
    <w:rsid w:val="00DB130B"/>
    <w:rsid w:val="00DC4F53"/>
    <w:rsid w:val="00DD676F"/>
    <w:rsid w:val="00DE1BBE"/>
    <w:rsid w:val="00E21BEC"/>
    <w:rsid w:val="00E50439"/>
    <w:rsid w:val="00E53313"/>
    <w:rsid w:val="00E7225D"/>
    <w:rsid w:val="00EB6598"/>
    <w:rsid w:val="00EC02B2"/>
    <w:rsid w:val="00ED0966"/>
    <w:rsid w:val="00F12AF1"/>
    <w:rsid w:val="00F26338"/>
    <w:rsid w:val="00F41001"/>
    <w:rsid w:val="00F47598"/>
    <w:rsid w:val="00F733DD"/>
    <w:rsid w:val="00F831C7"/>
    <w:rsid w:val="00F92AAE"/>
    <w:rsid w:val="00FA395E"/>
    <w:rsid w:val="00FB0CFF"/>
    <w:rsid w:val="5E6D9F25"/>
    <w:rsid w:val="6DBCE8A7"/>
    <w:rsid w:val="6FB37C02"/>
    <w:rsid w:val="74770342"/>
    <w:rsid w:val="77BE1D1E"/>
    <w:rsid w:val="7AFD248D"/>
    <w:rsid w:val="AFA56142"/>
    <w:rsid w:val="BEFC43E0"/>
    <w:rsid w:val="BFB8B487"/>
    <w:rsid w:val="C5EB3F91"/>
    <w:rsid w:val="C6F607C9"/>
    <w:rsid w:val="DE7FD159"/>
    <w:rsid w:val="FDBFEC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jc w:val="both"/>
    </w:pPr>
    <w:rPr>
      <w:rFonts w:ascii="仿宋_GB2312" w:hAnsi="仿宋_GB2312" w:eastAsia="仿宋_GB2312" w:cs="Times New Roman"/>
      <w:kern w:val="2"/>
      <w:sz w:val="32"/>
      <w:szCs w:val="24"/>
      <w:lang w:val="en-US" w:eastAsia="zh-CN" w:bidi="ar-SA"/>
    </w:rPr>
  </w:style>
  <w:style w:type="paragraph" w:styleId="2">
    <w:name w:val="heading 3"/>
    <w:basedOn w:val="1"/>
    <w:next w:val="1"/>
    <w:qFormat/>
    <w:uiPriority w:val="0"/>
    <w:pPr>
      <w:widowControl/>
      <w:jc w:val="center"/>
      <w:outlineLvl w:val="2"/>
    </w:pPr>
    <w:rPr>
      <w:rFonts w:ascii="宋体" w:hAnsi="宋体" w:cs="宋体"/>
      <w:b/>
      <w:bCs/>
      <w:kern w:val="0"/>
      <w:sz w:val="18"/>
      <w:szCs w:val="18"/>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qFormat/>
    <w:uiPriority w:val="0"/>
  </w:style>
  <w:style w:type="paragraph" w:styleId="4">
    <w:name w:val="Balloon Text"/>
    <w:basedOn w:val="1"/>
    <w:semiHidden/>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公文正文"/>
    <w:basedOn w:val="1"/>
    <w:qFormat/>
    <w:uiPriority w:val="0"/>
    <w:rPr>
      <w:rFonts w:asci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1207</Words>
  <Characters>1221</Characters>
  <Lines>35</Lines>
  <Paragraphs>10</Paragraphs>
  <TotalTime>5</TotalTime>
  <ScaleCrop>false</ScaleCrop>
  <LinksUpToDate>false</LinksUpToDate>
  <CharactersWithSpaces>2418</CharactersWithSpaces>
  <Application>WPS Office_11.8.2.12125_F1E327BC-269C-435d-A152-05C5408002CA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2019-03-16T23:13:00Z</dcterms:created>
  <dc:creator>金格科技</dc:creator>
  <cp:lastModifiedBy>scjuser</cp:lastModifiedBy>
  <cp:lastPrinted>2026-04-12T17:32:00Z</cp:lastPrinted>
  <dcterms:modified xsi:type="dcterms:W3CDTF">2026-04-17T12:18:29Z</dcterms:modified>
  <dc:title>关于办理《上海市人大常委会办公厅转送市人大财政经济委员会关于市十三届人大五次会议主席团交付审议的代表议案审议结果报告请研究办理的函》的函</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2052-11.8.2.12125</vt:lpwstr>
  </property>
  <property fmtid="{D5CDD505-2E9C-101B-9397-08002B2CF9AE}" pid="3" name="ICV">
    <vt:lpwstr>D0BC8E556589FAAA95B4E169E3B46569</vt:lpwstr>
  </property>
</Properties>
</file>