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60"/>
        </w:tabs>
        <w:kinsoku/>
        <w:wordWrap/>
        <w:overflowPunct/>
        <w:topLinePunct w:val="0"/>
        <w:autoSpaceDE/>
        <w:autoSpaceDN/>
        <w:bidi w:val="0"/>
        <w:adjustRightInd/>
        <w:snapToGrid/>
        <w:spacing w:before="1600" w:line="800" w:lineRule="exact"/>
        <w:ind w:right="1283" w:rightChars="611"/>
        <w:jc w:val="distribute"/>
        <w:textAlignment w:val="auto"/>
        <w:outlineLvl w:val="9"/>
        <w:rPr>
          <w:rFonts w:hint="eastAsia" w:eastAsia="方正小标宋简体"/>
          <w:color w:val="FF0000"/>
          <w:spacing w:val="-20"/>
          <w:kern w:val="0"/>
          <w:sz w:val="56"/>
          <w:szCs w:val="56"/>
          <w:lang w:eastAsia="zh-CN"/>
        </w:rPr>
      </w:pPr>
      <w:r>
        <w:rPr>
          <w:rFonts w:hint="eastAsia" w:eastAsia="方正小标宋简体"/>
          <w:color w:val="FF0000"/>
          <w:kern w:val="0"/>
          <w:sz w:val="56"/>
          <w:szCs w:val="56"/>
        </w:rPr>
        <mc:AlternateContent>
          <mc:Choice Requires="wps">
            <w:drawing>
              <wp:anchor distT="0" distB="0" distL="114300" distR="114300" simplePos="0" relativeHeight="251660288" behindDoc="0" locked="0" layoutInCell="1" allowOverlap="1">
                <wp:simplePos x="0" y="0"/>
                <wp:positionH relativeFrom="column">
                  <wp:posOffset>4856480</wp:posOffset>
                </wp:positionH>
                <wp:positionV relativeFrom="paragraph">
                  <wp:posOffset>1193800</wp:posOffset>
                </wp:positionV>
                <wp:extent cx="887095" cy="636270"/>
                <wp:effectExtent l="0" t="0" r="8255" b="11430"/>
                <wp:wrapNone/>
                <wp:docPr id="2" name="文本框 2"/>
                <wp:cNvGraphicFramePr/>
                <a:graphic xmlns:a="http://schemas.openxmlformats.org/drawingml/2006/main">
                  <a:graphicData uri="http://schemas.microsoft.com/office/word/2010/wordprocessingShape">
                    <wps:wsp>
                      <wps:cNvSpPr txBox="1"/>
                      <wps:spPr>
                        <a:xfrm>
                          <a:off x="0" y="0"/>
                          <a:ext cx="887095" cy="636270"/>
                        </a:xfrm>
                        <a:prstGeom prst="rect">
                          <a:avLst/>
                        </a:prstGeom>
                        <a:solidFill>
                          <a:srgbClr val="FFFFFF"/>
                        </a:solidFill>
                        <a:ln w="9525">
                          <a:noFill/>
                        </a:ln>
                      </wps:spPr>
                      <wps:txbx>
                        <w:txbxContent>
                          <w:p>
                            <w:pPr>
                              <w:spacing w:line="800" w:lineRule="exact"/>
                              <w:rPr>
                                <w:rFonts w:hint="eastAsia" w:eastAsia="方正小标宋简体"/>
                                <w:color w:val="FF0000"/>
                                <w:sz w:val="52"/>
                                <w:szCs w:val="52"/>
                              </w:rPr>
                            </w:pPr>
                            <w:r>
                              <w:rPr>
                                <w:rFonts w:hint="eastAsia" w:eastAsia="方正小标宋简体"/>
                                <w:color w:val="FF0000"/>
                                <w:sz w:val="52"/>
                                <w:szCs w:val="52"/>
                              </w:rPr>
                              <w:t>文件</w:t>
                            </w:r>
                          </w:p>
                        </w:txbxContent>
                      </wps:txbx>
                      <wps:bodyPr upright="1"/>
                    </wps:wsp>
                  </a:graphicData>
                </a:graphic>
              </wp:anchor>
            </w:drawing>
          </mc:Choice>
          <mc:Fallback>
            <w:pict>
              <v:shape id="_x0000_s1026" o:spid="_x0000_s1026" o:spt="202" type="#_x0000_t202" style="position:absolute;left:0pt;margin-left:382.4pt;margin-top:94pt;height:50.1pt;width:69.85pt;z-index:251660288;mso-width-relative:page;mso-height-relative:page;" fillcolor="#FFFFFF" filled="t" stroked="f" coordsize="21600,21600" o:gfxdata="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6YP5WNgAAAALAQAA&#10;DwAAAAAAAAABACAAAAA4AAAAZHJzL2Rvd25yZXYueG1sUEsBAhQAFAAAAAgAh07iQBiXY1HKAQAA&#10;fwMAAA4AAAAAAAAAAQAgAAAAPQEAAGRycy9lMm9Eb2MueG1sUEsFBgAAAAAGAAYAWQEAAHkFAAAA&#10;AA==&#10;">
                <v:fill on="t" focussize="0,0"/>
                <v:stroke on="f"/>
                <v:imagedata o:title=""/>
                <o:lock v:ext="edit" aspectratio="f"/>
                <v:textbox>
                  <w:txbxContent>
                    <w:p>
                      <w:pPr>
                        <w:spacing w:line="800" w:lineRule="exact"/>
                        <w:rPr>
                          <w:rFonts w:hint="eastAsia" w:eastAsia="方正小标宋简体"/>
                          <w:color w:val="FF0000"/>
                          <w:sz w:val="52"/>
                          <w:szCs w:val="52"/>
                        </w:rPr>
                      </w:pPr>
                      <w:r>
                        <w:rPr>
                          <w:rFonts w:hint="eastAsia" w:eastAsia="方正小标宋简体"/>
                          <w:color w:val="FF0000"/>
                          <w:sz w:val="52"/>
                          <w:szCs w:val="52"/>
                        </w:rPr>
                        <w:t>文件</w:t>
                      </w:r>
                    </w:p>
                  </w:txbxContent>
                </v:textbox>
              </v:shape>
            </w:pict>
          </mc:Fallback>
        </mc:AlternateContent>
      </w:r>
      <w:r>
        <w:rPr>
          <w:rFonts w:hint="eastAsia" w:eastAsia="方正小标宋简体"/>
          <w:color w:val="FF0000"/>
          <w:spacing w:val="-20"/>
          <w:kern w:val="0"/>
          <w:sz w:val="56"/>
          <w:szCs w:val="56"/>
        </w:rPr>
        <w:t>上海市崇明区经济委员会</w:t>
      </w:r>
    </w:p>
    <w:p>
      <w:pPr>
        <w:keepNext w:val="0"/>
        <w:keepLines w:val="0"/>
        <w:pageBreakBefore w:val="0"/>
        <w:widowControl w:val="0"/>
        <w:tabs>
          <w:tab w:val="left" w:pos="7560"/>
        </w:tabs>
        <w:kinsoku/>
        <w:wordWrap/>
        <w:overflowPunct/>
        <w:topLinePunct w:val="0"/>
        <w:autoSpaceDE/>
        <w:autoSpaceDN/>
        <w:bidi w:val="0"/>
        <w:adjustRightInd/>
        <w:snapToGrid/>
        <w:spacing w:line="800" w:lineRule="exact"/>
        <w:ind w:right="1283" w:rightChars="611"/>
        <w:jc w:val="distribute"/>
        <w:textAlignment w:val="auto"/>
        <w:outlineLvl w:val="9"/>
        <w:rPr>
          <w:rFonts w:hint="eastAsia" w:eastAsia="方正小标宋简体"/>
          <w:color w:val="FF0000"/>
          <w:spacing w:val="-20"/>
          <w:kern w:val="0"/>
          <w:sz w:val="56"/>
          <w:szCs w:val="56"/>
          <w:lang w:eastAsia="zh-CN"/>
        </w:rPr>
      </w:pPr>
      <w:r>
        <w:rPr>
          <w:rFonts w:hint="eastAsia" w:eastAsia="方正小标宋简体"/>
          <w:color w:val="FF0000"/>
          <w:spacing w:val="-20"/>
          <w:kern w:val="0"/>
          <w:sz w:val="56"/>
          <w:szCs w:val="56"/>
          <w:lang w:eastAsia="zh-CN"/>
        </w:rPr>
        <w:t>上海市崇明区</w:t>
      </w:r>
      <w:r>
        <w:rPr>
          <w:rFonts w:hint="eastAsia" w:eastAsia="方正小标宋简体"/>
          <w:color w:val="FF0000"/>
          <w:spacing w:val="-20"/>
          <w:kern w:val="0"/>
          <w:sz w:val="56"/>
          <w:szCs w:val="56"/>
          <w:lang w:val="en-US" w:eastAsia="zh-CN"/>
        </w:rPr>
        <w:t>财政局</w:t>
      </w:r>
    </w:p>
    <w:p>
      <w:pPr>
        <w:tabs>
          <w:tab w:val="left" w:pos="7727"/>
          <w:tab w:val="left" w:pos="8567"/>
        </w:tabs>
        <w:spacing w:after="156" w:line="300" w:lineRule="exact"/>
        <w:ind w:leftChars="-10" w:right="-73" w:rightChars="-35" w:hanging="21" w:hangingChars="10"/>
        <w:rPr>
          <w:rFonts w:hint="eastAsia" w:ascii="仿宋_GB2312"/>
        </w:rPr>
      </w:pPr>
      <w:r>
        <w:rPr>
          <w:rFonts w:hint="eastAsia" w:ascii="仿宋_GB2312"/>
        </w:rPr>
        <w:t xml:space="preserve">                               </w:t>
      </w:r>
    </w:p>
    <w:p>
      <w:pPr>
        <w:keepNext w:val="0"/>
        <w:keepLines w:val="0"/>
        <w:pageBreakBefore w:val="0"/>
        <w:widowControl w:val="0"/>
        <w:tabs>
          <w:tab w:val="left" w:pos="7727"/>
          <w:tab w:val="left" w:pos="8567"/>
        </w:tabs>
        <w:kinsoku/>
        <w:wordWrap/>
        <w:overflowPunct/>
        <w:topLinePunct w:val="0"/>
        <w:autoSpaceDE/>
        <w:autoSpaceDN/>
        <w:bidi w:val="0"/>
        <w:adjustRightInd/>
        <w:snapToGrid/>
        <w:spacing w:after="156" w:line="400" w:lineRule="exact"/>
        <w:ind w:leftChars="-10" w:right="-73" w:rightChars="-35" w:hanging="32" w:hangingChars="1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7727"/>
          <w:tab w:val="left" w:pos="8567"/>
        </w:tabs>
        <w:kinsoku/>
        <w:wordWrap/>
        <w:overflowPunct/>
        <w:topLinePunct w:val="0"/>
        <w:autoSpaceDE/>
        <w:autoSpaceDN/>
        <w:bidi w:val="0"/>
        <w:adjustRightInd/>
        <w:snapToGrid/>
        <w:spacing w:line="500" w:lineRule="exact"/>
        <w:ind w:left="6391" w:leftChars="-10" w:right="-73" w:rightChars="-35" w:hanging="6412" w:hangingChars="2004"/>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沪崇经</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630" w:rightChars="300"/>
        <w:textAlignment w:val="auto"/>
        <w:outlineLvl w:val="9"/>
        <w:rPr>
          <w:rFonts w:hint="eastAsia" w:ascii="仿宋_GB2312"/>
        </w:rPr>
      </w:pPr>
      <w:r>
        <w:rPr>
          <w:rFonts w:ascii="仿宋_GB2312"/>
          <w:sz w:val="20"/>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23495</wp:posOffset>
                </wp:positionV>
                <wp:extent cx="5608320" cy="190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08320" cy="19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4pt;margin-top:1.85pt;height:0.15pt;width:441.6pt;z-index:251659264;mso-width-relative:page;mso-height-relative:page;" filled="f" stroked="t" coordsize="21600,21600" o:gfxdata="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EvZXobUAAAABAEAAA8AAAAAAAAAAQAg&#10;AAAAOAAAAGRycy9kb3ducmV2LnhtbFBLAQIUABQAAAAIAIdO4kBI2C7V/AEAAPIDAAAOAAAAAAAA&#10;AAEAIAAAADkBAABkcnMvZTJvRG9jLnhtbFBLBQYAAAAABgAGAFkBAACnBQAAAAA=&#10;">
                <v:fill on="f" focussize="0,0"/>
                <v:stroke weight="1.5pt" color="#FF0000" joinstyle="round"/>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rPr>
          <w:rFonts w:hint="eastAsia" w:ascii="方正小标宋简体" w:hAnsi="方正小标宋简体" w:eastAsia="方正小标宋简体" w:cs="方正小标宋简体"/>
          <w:b w:val="0"/>
          <w:bCs/>
          <w:sz w:val="36"/>
          <w:szCs w:val="36"/>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关于印发《崇明区关于促进工业、服务业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高质量发展的实施办法》的通知</w:t>
      </w:r>
    </w:p>
    <w:p>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jc w:val="both"/>
        <w:textAlignment w:val="auto"/>
        <w:rPr>
          <w:rFonts w:ascii="仿宋_GB2312" w:hAnsi="宋体" w:eastAsia="仿宋_GB2312" w:cs="仿宋_GB2312"/>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jc w:val="both"/>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各乡、镇人民政府，区政府各委、办、局，区各直属单位</w:t>
      </w:r>
      <w:r>
        <w:rPr>
          <w:rFonts w:hint="eastAsia" w:ascii="仿宋_GB2312" w:hAnsi="宋体" w:eastAsia="仿宋_GB2312" w:cs="仿宋_GB2312"/>
          <w:color w:val="000000"/>
          <w:kern w:val="0"/>
          <w:sz w:val="31"/>
          <w:szCs w:val="31"/>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经区政府同意，现将《崇明区关于促进工业、服务业高质量发展的实施办法》</w:t>
      </w:r>
      <w:bookmarkStart w:id="0" w:name="_GoBack"/>
      <w:bookmarkEnd w:id="0"/>
      <w:r>
        <w:rPr>
          <w:rFonts w:hint="eastAsia" w:ascii="仿宋_GB2312" w:hAnsi="宋体" w:eastAsia="仿宋_GB2312" w:cs="仿宋_GB2312"/>
          <w:color w:val="000000"/>
          <w:kern w:val="0"/>
          <w:sz w:val="31"/>
          <w:szCs w:val="31"/>
          <w:lang w:val="en-US" w:eastAsia="zh-CN" w:bidi="ar"/>
        </w:rPr>
        <w:t>印发给你们，请认真按照执行。</w:t>
      </w:r>
    </w:p>
    <w:p>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center"/>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上海市崇明区经济委员会         上海市崇明区财政局</w:t>
      </w:r>
    </w:p>
    <w:p>
      <w:pPr>
        <w:keepNext w:val="0"/>
        <w:keepLines w:val="0"/>
        <w:widowControl/>
        <w:suppressLineNumbers w:val="0"/>
        <w:jc w:val="center"/>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2024年10月28日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方正小标宋简体" w:eastAsia="方正小标宋简体"/>
          <w:sz w:val="36"/>
          <w:szCs w:val="36"/>
        </w:rPr>
      </w:pPr>
      <w:r>
        <w:rPr>
          <w:rFonts w:hint="eastAsia" w:ascii="方正小标宋简体" w:eastAsia="方正小标宋简体"/>
          <w:sz w:val="36"/>
          <w:szCs w:val="36"/>
          <w:lang w:eastAsia="zh-CN"/>
        </w:rPr>
        <w:t>崇明区关于促进工业、服务业高质量发展的实施办法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为</w:t>
      </w:r>
      <w:r>
        <w:rPr>
          <w:rFonts w:hint="eastAsia" w:ascii="仿宋_GB2312" w:hAnsi="仿宋_GB2312" w:eastAsia="仿宋_GB2312" w:cs="仿宋_GB2312"/>
          <w:b w:val="0"/>
          <w:bCs w:val="0"/>
          <w:color w:val="auto"/>
          <w:spacing w:val="0"/>
          <w:sz w:val="32"/>
          <w:szCs w:val="32"/>
          <w:highlight w:val="none"/>
          <w:u w:val="none"/>
          <w:lang w:eastAsia="zh-CN"/>
        </w:rPr>
        <w:t>全力推进本区</w:t>
      </w:r>
      <w:r>
        <w:rPr>
          <w:rFonts w:hint="eastAsia" w:ascii="仿宋_GB2312" w:hAnsi="仿宋_GB2312" w:eastAsia="仿宋_GB2312" w:cs="仿宋_GB2312"/>
          <w:b w:val="0"/>
          <w:bCs w:val="0"/>
          <w:color w:val="auto"/>
          <w:spacing w:val="0"/>
          <w:sz w:val="32"/>
          <w:szCs w:val="32"/>
          <w:highlight w:val="none"/>
          <w:u w:val="none"/>
        </w:rPr>
        <w:t>“2+3+N”</w:t>
      </w:r>
      <w:r>
        <w:rPr>
          <w:rFonts w:hint="eastAsia" w:ascii="仿宋_GB2312" w:hAnsi="仿宋_GB2312" w:eastAsia="仿宋_GB2312" w:cs="仿宋_GB2312"/>
          <w:b w:val="0"/>
          <w:bCs w:val="0"/>
          <w:color w:val="auto"/>
          <w:spacing w:val="0"/>
          <w:sz w:val="32"/>
          <w:szCs w:val="32"/>
          <w:highlight w:val="none"/>
          <w:u w:val="none"/>
          <w:lang w:eastAsia="zh-CN"/>
        </w:rPr>
        <w:t>现代化</w:t>
      </w:r>
      <w:r>
        <w:rPr>
          <w:rFonts w:hint="eastAsia" w:ascii="仿宋_GB2312" w:hAnsi="仿宋_GB2312" w:eastAsia="仿宋_GB2312" w:cs="仿宋_GB2312"/>
          <w:b w:val="0"/>
          <w:bCs w:val="0"/>
          <w:color w:val="auto"/>
          <w:spacing w:val="0"/>
          <w:sz w:val="32"/>
          <w:szCs w:val="32"/>
          <w:highlight w:val="none"/>
          <w:u w:val="none"/>
        </w:rPr>
        <w:t>生态产业体系</w:t>
      </w:r>
      <w:r>
        <w:rPr>
          <w:rFonts w:hint="eastAsia" w:ascii="仿宋_GB2312" w:eastAsia="仿宋_GB2312"/>
          <w:sz w:val="32"/>
          <w:szCs w:val="32"/>
          <w:lang w:eastAsia="zh-CN"/>
        </w:rPr>
        <w:t>建设，激发工业、服务业的活力和创造力，进一步为企业发展创造公平竞争环境，发挥企业在稳定增长、促进创新、增加就业、改善民生等方面的重要作用，特制定本实施办法。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一、支持对象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b w:val="0"/>
          <w:bCs w:val="0"/>
          <w:sz w:val="32"/>
          <w:szCs w:val="32"/>
          <w:lang w:eastAsia="zh-CN"/>
        </w:rPr>
      </w:pPr>
      <w:r>
        <w:rPr>
          <w:rFonts w:hint="eastAsia" w:ascii="仿宋_GB2312" w:hAnsi="仿宋_GB2312" w:eastAsia="仿宋_GB2312" w:cs="仿宋_GB2312"/>
          <w:color w:val="000000"/>
          <w:kern w:val="0"/>
          <w:sz w:val="32"/>
          <w:szCs w:val="32"/>
          <w:lang w:val="en-US" w:eastAsia="zh-CN" w:bidi="ar"/>
        </w:rPr>
        <w:t>符合本区产业发展导向，财务管理制度健全、信用良好，依法设立在崇明区后稳定经营满一年以上</w:t>
      </w:r>
      <w:r>
        <w:rPr>
          <w:rFonts w:hint="eastAsia" w:ascii="仿宋_GB2312" w:hAnsi="仿宋_GB2312" w:eastAsia="仿宋_GB2312" w:cs="仿宋_GB2312"/>
          <w:b w:val="0"/>
          <w:bCs w:val="0"/>
          <w:color w:val="000000"/>
          <w:kern w:val="0"/>
          <w:sz w:val="32"/>
          <w:szCs w:val="32"/>
          <w:lang w:val="en-US" w:eastAsia="zh-CN" w:bidi="ar"/>
        </w:rPr>
        <w:t>的</w:t>
      </w:r>
      <w:r>
        <w:rPr>
          <w:rFonts w:hint="eastAsia" w:ascii="仿宋_GB2312" w:eastAsia="仿宋_GB2312"/>
          <w:b w:val="0"/>
          <w:bCs w:val="0"/>
          <w:sz w:val="32"/>
          <w:szCs w:val="32"/>
          <w:lang w:eastAsia="zh-CN"/>
        </w:rPr>
        <w:t>工业企业，生产性服务业企业以及批发零售、住宿餐饮、租赁和商务服务业等商贸企业。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支持内容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支持企业做大做强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u w:val="none"/>
        </w:rPr>
      </w:pPr>
      <w:r>
        <w:rPr>
          <w:rFonts w:hint="eastAsia" w:ascii="仿宋_GB2312" w:hAnsi="仿宋_GB2312" w:eastAsia="仿宋_GB2312" w:cs="仿宋_GB2312"/>
          <w:b/>
          <w:bCs/>
          <w:sz w:val="32"/>
          <w:szCs w:val="32"/>
          <w:u w:val="none"/>
          <w:lang w:val="en-US" w:eastAsia="zh-CN"/>
        </w:rPr>
        <w:t>1.</w:t>
      </w:r>
      <w:r>
        <w:rPr>
          <w:rFonts w:hint="eastAsia" w:ascii="仿宋_GB2312" w:hAnsi="仿宋_GB2312" w:eastAsia="仿宋_GB2312" w:cs="仿宋_GB2312"/>
          <w:b/>
          <w:bCs/>
          <w:sz w:val="32"/>
          <w:szCs w:val="32"/>
          <w:u w:val="none"/>
        </w:rPr>
        <w:t>“升规”“</w:t>
      </w:r>
      <w:r>
        <w:rPr>
          <w:rFonts w:hint="eastAsia" w:ascii="仿宋_GB2312" w:hAnsi="仿宋_GB2312" w:eastAsia="仿宋_GB2312" w:cs="仿宋_GB2312"/>
          <w:b/>
          <w:bCs/>
          <w:sz w:val="32"/>
          <w:szCs w:val="32"/>
          <w:u w:val="none"/>
          <w:lang w:eastAsia="zh-CN"/>
        </w:rPr>
        <w:t>升限</w:t>
      </w:r>
      <w:r>
        <w:rPr>
          <w:rFonts w:hint="eastAsia" w:ascii="仿宋_GB2312" w:hAnsi="仿宋_GB2312" w:eastAsia="仿宋_GB2312" w:cs="仿宋_GB2312"/>
          <w:b/>
          <w:bCs/>
          <w:sz w:val="32"/>
          <w:szCs w:val="32"/>
          <w:u w:val="none"/>
        </w:rPr>
        <w:t>”</w:t>
      </w:r>
      <w:r>
        <w:rPr>
          <w:rFonts w:hint="eastAsia" w:ascii="楷体_GB2312" w:eastAsia="楷体_GB2312"/>
          <w:sz w:val="32"/>
          <w:szCs w:val="32"/>
          <w:u w:val="none"/>
          <w:lang w:eastAsia="zh-CN"/>
        </w:rPr>
        <w:t>。</w:t>
      </w:r>
      <w:r>
        <w:rPr>
          <w:rFonts w:hint="eastAsia" w:ascii="仿宋_GB2312" w:eastAsia="仿宋_GB2312"/>
          <w:sz w:val="32"/>
          <w:szCs w:val="32"/>
          <w:u w:val="none"/>
          <w:lang w:eastAsia="zh-CN"/>
        </w:rPr>
        <w:t>工业、服务业企业首次进入规模以上工业、服务业企业库；批发零售、住宿餐饮、租赁和商务服务业等商贸企业</w:t>
      </w:r>
      <w:r>
        <w:rPr>
          <w:rFonts w:hint="eastAsia" w:ascii="仿宋_GB2312" w:eastAsia="仿宋_GB2312"/>
          <w:sz w:val="32"/>
          <w:szCs w:val="32"/>
          <w:u w:val="none"/>
        </w:rPr>
        <w:t>首次</w:t>
      </w:r>
      <w:r>
        <w:rPr>
          <w:rFonts w:hint="eastAsia" w:ascii="仿宋_GB2312" w:eastAsia="仿宋_GB2312"/>
          <w:sz w:val="32"/>
          <w:szCs w:val="32"/>
          <w:u w:val="none"/>
          <w:lang w:eastAsia="zh-CN"/>
        </w:rPr>
        <w:t>进入限额以上商贸企业库。</w:t>
      </w:r>
      <w:r>
        <w:rPr>
          <w:rFonts w:hint="eastAsia" w:ascii="仿宋_GB2312" w:eastAsia="仿宋_GB2312"/>
          <w:sz w:val="32"/>
          <w:szCs w:val="32"/>
          <w:u w:val="none"/>
        </w:rPr>
        <w:t>对以上企业</w:t>
      </w:r>
      <w:r>
        <w:rPr>
          <w:rFonts w:hint="eastAsia" w:ascii="仿宋_GB2312" w:eastAsia="仿宋_GB2312"/>
          <w:color w:val="auto"/>
          <w:sz w:val="32"/>
          <w:szCs w:val="32"/>
          <w:u w:val="none"/>
        </w:rPr>
        <w:t>给予</w:t>
      </w:r>
      <w:r>
        <w:rPr>
          <w:rFonts w:hint="eastAsia" w:ascii="仿宋_GB2312" w:eastAsia="仿宋_GB2312"/>
          <w:color w:val="auto"/>
          <w:sz w:val="32"/>
          <w:szCs w:val="32"/>
          <w:u w:val="none"/>
          <w:lang w:val="en-US" w:eastAsia="zh-CN"/>
        </w:rPr>
        <w:t>30</w:t>
      </w:r>
      <w:r>
        <w:rPr>
          <w:rFonts w:hint="eastAsia" w:ascii="仿宋_GB2312" w:eastAsia="仿宋_GB2312"/>
          <w:sz w:val="32"/>
          <w:szCs w:val="32"/>
          <w:u w:val="none"/>
        </w:rPr>
        <w:t>万元</w:t>
      </w:r>
      <w:r>
        <w:rPr>
          <w:rFonts w:hint="eastAsia" w:ascii="仿宋_GB2312" w:eastAsia="仿宋_GB2312"/>
          <w:sz w:val="32"/>
          <w:szCs w:val="32"/>
          <w:u w:val="none"/>
          <w:lang w:eastAsia="zh-CN"/>
        </w:rPr>
        <w:t>的</w:t>
      </w:r>
      <w:r>
        <w:rPr>
          <w:rFonts w:hint="eastAsia" w:ascii="仿宋_GB2312" w:eastAsia="仿宋_GB2312"/>
          <w:sz w:val="32"/>
          <w:szCs w:val="32"/>
          <w:u w:val="none"/>
        </w:rPr>
        <w:t>一次性</w:t>
      </w:r>
      <w:r>
        <w:rPr>
          <w:rFonts w:hint="eastAsia" w:ascii="仿宋_GB2312" w:eastAsia="仿宋_GB2312"/>
          <w:sz w:val="32"/>
          <w:szCs w:val="32"/>
          <w:u w:val="none"/>
          <w:lang w:eastAsia="zh-CN"/>
        </w:rPr>
        <w:t>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u w:val="none"/>
          <w:lang w:val="en-US" w:eastAsia="zh-CN"/>
        </w:rPr>
      </w:pPr>
      <w:r>
        <w:rPr>
          <w:rFonts w:hint="eastAsia" w:ascii="仿宋_GB2312" w:hAnsi="仿宋_GB2312" w:eastAsia="仿宋_GB2312" w:cs="仿宋_GB2312"/>
          <w:b/>
          <w:bCs/>
          <w:sz w:val="32"/>
          <w:szCs w:val="32"/>
          <w:u w:val="none"/>
          <w:lang w:val="en-US" w:eastAsia="zh-CN"/>
        </w:rPr>
        <w:t>2.扩大规模</w:t>
      </w:r>
      <w:r>
        <w:rPr>
          <w:rFonts w:hint="eastAsia" w:ascii="楷体_GB2312" w:eastAsia="楷体_GB2312"/>
          <w:b/>
          <w:bCs/>
          <w:sz w:val="32"/>
          <w:szCs w:val="32"/>
          <w:u w:val="none"/>
          <w:lang w:val="en-US" w:eastAsia="zh-CN"/>
        </w:rPr>
        <w:t>。</w:t>
      </w:r>
      <w:r>
        <w:rPr>
          <w:rFonts w:hint="eastAsia" w:ascii="仿宋_GB2312" w:eastAsia="仿宋_GB2312"/>
          <w:sz w:val="32"/>
          <w:szCs w:val="32"/>
          <w:u w:val="none"/>
        </w:rPr>
        <w:t>对</w:t>
      </w:r>
      <w:r>
        <w:rPr>
          <w:rFonts w:hint="eastAsia" w:ascii="仿宋_GB2312" w:eastAsia="仿宋_GB2312"/>
          <w:sz w:val="32"/>
          <w:szCs w:val="32"/>
          <w:u w:val="none"/>
          <w:lang w:eastAsia="zh-CN"/>
        </w:rPr>
        <w:t>规模以上工业、服务业企业和限额以上批发零售、住宿餐饮商贸企业</w:t>
      </w:r>
      <w:r>
        <w:rPr>
          <w:rFonts w:hint="eastAsia" w:ascii="仿宋_GB2312" w:eastAsia="仿宋_GB2312"/>
          <w:sz w:val="32"/>
          <w:szCs w:val="32"/>
          <w:u w:val="none"/>
        </w:rPr>
        <w:t>扩大生产</w:t>
      </w:r>
      <w:r>
        <w:rPr>
          <w:rFonts w:hint="eastAsia" w:ascii="仿宋_GB2312" w:eastAsia="仿宋_GB2312"/>
          <w:sz w:val="32"/>
          <w:szCs w:val="32"/>
          <w:u w:val="none"/>
          <w:lang w:eastAsia="zh-CN"/>
        </w:rPr>
        <w:t>经营</w:t>
      </w:r>
      <w:r>
        <w:rPr>
          <w:rFonts w:hint="eastAsia" w:ascii="仿宋_GB2312" w:eastAsia="仿宋_GB2312"/>
          <w:sz w:val="32"/>
          <w:szCs w:val="32"/>
          <w:u w:val="none"/>
        </w:rPr>
        <w:t>规模给予扶持，当年度规</w:t>
      </w:r>
      <w:r>
        <w:rPr>
          <w:rFonts w:hint="eastAsia" w:ascii="仿宋_GB2312" w:eastAsia="仿宋_GB2312"/>
          <w:sz w:val="32"/>
          <w:szCs w:val="32"/>
          <w:u w:val="none"/>
          <w:lang w:eastAsia="zh-CN"/>
        </w:rPr>
        <w:t>模以</w:t>
      </w:r>
      <w:r>
        <w:rPr>
          <w:rFonts w:hint="eastAsia" w:ascii="仿宋_GB2312" w:eastAsia="仿宋_GB2312"/>
          <w:sz w:val="32"/>
          <w:szCs w:val="32"/>
          <w:u w:val="none"/>
        </w:rPr>
        <w:t>上工业</w:t>
      </w:r>
      <w:r>
        <w:rPr>
          <w:rFonts w:hint="eastAsia" w:ascii="仿宋_GB2312" w:eastAsia="仿宋_GB2312"/>
          <w:sz w:val="32"/>
          <w:szCs w:val="32"/>
          <w:u w:val="none"/>
          <w:lang w:eastAsia="zh-CN"/>
        </w:rPr>
        <w:t>产值、服务业营业收入和限额以上批发零售、住宿餐饮企业销售（营业）额达到上一年度</w:t>
      </w:r>
      <w:r>
        <w:rPr>
          <w:rFonts w:hint="eastAsia" w:ascii="仿宋_GB2312" w:eastAsia="仿宋_GB2312"/>
          <w:sz w:val="32"/>
          <w:szCs w:val="32"/>
          <w:u w:val="none"/>
          <w:lang w:val="en-US" w:eastAsia="zh-CN"/>
        </w:rPr>
        <w:t>110%—130%、130%—160%、160%以上的重点企业，分别给予20万元、40万元、60万元的奖励。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u w:val="none"/>
          <w:lang w:val="en-US" w:eastAsia="zh-CN"/>
        </w:rPr>
      </w:pPr>
      <w:r>
        <w:rPr>
          <w:rFonts w:hint="eastAsia" w:ascii="仿宋_GB2312" w:eastAsia="仿宋_GB2312"/>
          <w:b/>
          <w:bCs/>
          <w:sz w:val="32"/>
          <w:szCs w:val="32"/>
          <w:u w:val="none"/>
          <w:lang w:val="en-US" w:eastAsia="zh-CN"/>
        </w:rPr>
        <w:t>3.加快发展扶持</w:t>
      </w:r>
      <w:r>
        <w:rPr>
          <w:rFonts w:hint="eastAsia" w:ascii="仿宋_GB2312" w:eastAsia="仿宋_GB2312"/>
          <w:sz w:val="32"/>
          <w:szCs w:val="32"/>
          <w:u w:val="none"/>
          <w:lang w:val="en-US" w:eastAsia="zh-CN"/>
        </w:rPr>
        <w:t>。对工业产值、</w:t>
      </w:r>
      <w:r>
        <w:rPr>
          <w:rFonts w:hint="eastAsia" w:ascii="仿宋_GB2312" w:eastAsia="仿宋_GB2312"/>
          <w:sz w:val="32"/>
          <w:szCs w:val="32"/>
          <w:u w:val="none"/>
          <w:lang w:eastAsia="zh-CN"/>
        </w:rPr>
        <w:t>服务业营业收入</w:t>
      </w:r>
      <w:r>
        <w:rPr>
          <w:rFonts w:hint="eastAsia" w:ascii="仿宋_GB2312" w:eastAsia="仿宋_GB2312"/>
          <w:sz w:val="32"/>
          <w:szCs w:val="32"/>
          <w:u w:val="none"/>
          <w:lang w:val="en-US" w:eastAsia="zh-CN"/>
        </w:rPr>
        <w:t>首次突破1亿元、5亿元、10亿元、30亿元和50亿元的</w:t>
      </w:r>
      <w:r>
        <w:rPr>
          <w:rFonts w:hint="eastAsia" w:ascii="仿宋_GB2312" w:eastAsia="仿宋_GB2312"/>
          <w:sz w:val="32"/>
          <w:szCs w:val="32"/>
          <w:u w:val="none"/>
          <w:lang w:eastAsia="zh-CN"/>
        </w:rPr>
        <w:t>工业</w:t>
      </w:r>
      <w:r>
        <w:rPr>
          <w:rFonts w:hint="eastAsia" w:ascii="仿宋_GB2312" w:eastAsia="仿宋_GB2312"/>
          <w:sz w:val="32"/>
          <w:szCs w:val="32"/>
          <w:u w:val="none"/>
          <w:lang w:val="en-US" w:eastAsia="zh-CN"/>
        </w:rPr>
        <w:t>、服务业企业，分别给予10万元、30万元、50万元、70万元和100万元的</w:t>
      </w:r>
      <w:r>
        <w:rPr>
          <w:rFonts w:hint="eastAsia" w:ascii="仿宋_GB2312" w:eastAsia="仿宋_GB2312"/>
          <w:sz w:val="32"/>
          <w:szCs w:val="32"/>
          <w:u w:val="none"/>
          <w:lang w:eastAsia="zh-CN"/>
        </w:rPr>
        <w:t>奖励</w:t>
      </w:r>
      <w:r>
        <w:rPr>
          <w:rFonts w:hint="eastAsia" w:ascii="仿宋_GB2312" w:eastAsia="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（二）支持企业创新发展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u w:val="none"/>
          <w:lang w:val="en-US" w:eastAsia="zh-CN"/>
        </w:rPr>
      </w:pPr>
      <w:r>
        <w:rPr>
          <w:rFonts w:hint="eastAsia" w:ascii="仿宋_GB2312" w:hAnsi="仿宋_GB2312" w:eastAsia="仿宋_GB2312" w:cs="仿宋_GB2312"/>
          <w:b/>
          <w:bCs/>
          <w:sz w:val="32"/>
          <w:szCs w:val="32"/>
          <w:u w:val="none"/>
          <w:lang w:val="en-US" w:eastAsia="zh-CN"/>
        </w:rPr>
        <w:t>4.研发投入</w:t>
      </w:r>
      <w:r>
        <w:rPr>
          <w:rFonts w:hint="eastAsia" w:ascii="楷体_GB2312" w:eastAsia="楷体_GB2312"/>
          <w:b/>
          <w:bCs/>
          <w:sz w:val="32"/>
          <w:szCs w:val="32"/>
          <w:u w:val="none"/>
          <w:lang w:val="en-US" w:eastAsia="zh-CN"/>
        </w:rPr>
        <w:t>。</w:t>
      </w:r>
      <w:r>
        <w:rPr>
          <w:rFonts w:hint="eastAsia" w:ascii="仿宋_GB2312" w:eastAsia="仿宋_GB2312"/>
          <w:sz w:val="32"/>
          <w:szCs w:val="32"/>
          <w:u w:val="none"/>
          <w:lang w:val="en-US" w:eastAsia="zh-CN"/>
        </w:rPr>
        <w:t>对</w:t>
      </w:r>
      <w:r>
        <w:rPr>
          <w:rFonts w:hint="eastAsia" w:ascii="仿宋_GB2312" w:eastAsia="仿宋_GB2312"/>
          <w:sz w:val="32"/>
          <w:szCs w:val="32"/>
          <w:u w:val="none"/>
          <w:lang w:eastAsia="zh-CN"/>
        </w:rPr>
        <w:t>工业</w:t>
      </w:r>
      <w:r>
        <w:rPr>
          <w:rFonts w:hint="eastAsia" w:ascii="仿宋_GB2312" w:eastAsia="仿宋_GB2312"/>
          <w:sz w:val="32"/>
          <w:szCs w:val="32"/>
          <w:u w:val="none"/>
          <w:lang w:val="en-US" w:eastAsia="zh-CN"/>
        </w:rPr>
        <w:t>企业、生产性服务业企业</w:t>
      </w:r>
      <w:r>
        <w:rPr>
          <w:rFonts w:hint="eastAsia" w:ascii="仿宋_GB2312" w:eastAsia="仿宋_GB2312"/>
          <w:sz w:val="32"/>
          <w:szCs w:val="32"/>
          <w:u w:val="none"/>
          <w:lang w:eastAsia="zh-CN"/>
        </w:rPr>
        <w:t>上一年度主营业务收入</w:t>
      </w:r>
      <w:r>
        <w:rPr>
          <w:rFonts w:hint="eastAsia" w:ascii="仿宋_GB2312" w:eastAsia="仿宋_GB2312"/>
          <w:sz w:val="32"/>
          <w:szCs w:val="32"/>
          <w:u w:val="none"/>
          <w:lang w:val="en-US" w:eastAsia="zh-CN"/>
        </w:rPr>
        <w:t>1000万元以上、</w:t>
      </w:r>
      <w:r>
        <w:rPr>
          <w:rFonts w:hint="eastAsia" w:ascii="仿宋_GB2312" w:eastAsia="仿宋_GB2312"/>
          <w:sz w:val="32"/>
          <w:szCs w:val="32"/>
          <w:u w:val="none"/>
          <w:lang w:eastAsia="zh-CN"/>
        </w:rPr>
        <w:t>研究与试验发展经费投入（研发投入）</w:t>
      </w:r>
      <w:r>
        <w:rPr>
          <w:rFonts w:hint="eastAsia" w:ascii="仿宋_GB2312" w:eastAsia="仿宋_GB2312"/>
          <w:sz w:val="32"/>
          <w:szCs w:val="32"/>
          <w:u w:val="none"/>
          <w:lang w:val="en-US" w:eastAsia="zh-CN"/>
        </w:rPr>
        <w:t>50万元以上的给予扶持，</w:t>
      </w:r>
      <w:r>
        <w:rPr>
          <w:rFonts w:hint="eastAsia" w:ascii="仿宋_GB2312" w:eastAsia="仿宋_GB2312"/>
          <w:sz w:val="32"/>
          <w:szCs w:val="32"/>
          <w:u w:val="none"/>
          <w:lang w:eastAsia="zh-CN"/>
        </w:rPr>
        <w:t>企业研发投入占主营业务收入的比例（研发强度）达到</w:t>
      </w:r>
      <w:r>
        <w:rPr>
          <w:rFonts w:hint="eastAsia" w:ascii="仿宋_GB2312" w:eastAsia="仿宋_GB2312"/>
          <w:sz w:val="32"/>
          <w:szCs w:val="32"/>
          <w:u w:val="none"/>
          <w:lang w:val="en-US" w:eastAsia="zh-CN"/>
        </w:rPr>
        <w:t>2.5</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4.5%</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4.5%—6%、6%—8%、8%以上的企业，分别给予20万元、30万元、40万元、50万元的奖励。对</w:t>
      </w:r>
      <w:r>
        <w:rPr>
          <w:rFonts w:hint="eastAsia" w:ascii="仿宋_GB2312" w:eastAsia="仿宋_GB2312"/>
          <w:sz w:val="32"/>
          <w:szCs w:val="32"/>
          <w:u w:val="none"/>
          <w:lang w:eastAsia="zh-CN"/>
        </w:rPr>
        <w:t>主营业务收入</w:t>
      </w:r>
      <w:r>
        <w:rPr>
          <w:rFonts w:hint="eastAsia" w:ascii="仿宋_GB2312" w:eastAsia="仿宋_GB2312"/>
          <w:sz w:val="32"/>
          <w:szCs w:val="32"/>
          <w:u w:val="none"/>
          <w:lang w:val="en-US" w:eastAsia="zh-CN"/>
        </w:rPr>
        <w:t>1亿元以上，研发投入和强度分别在1000万元以上且3%以上的，给予100万元的奖励；对研发投入达到2000万元、3500万元、5000万元以上且研发强度在3%以上的，给予200万元、300万元、400万元的奖励。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u w:val="none"/>
          <w:lang w:eastAsia="zh-CN"/>
        </w:rPr>
      </w:pPr>
      <w:r>
        <w:rPr>
          <w:rFonts w:hint="eastAsia" w:ascii="仿宋_GB2312" w:hAnsi="仿宋_GB2312" w:eastAsia="仿宋_GB2312" w:cs="仿宋_GB2312"/>
          <w:b/>
          <w:bCs/>
          <w:sz w:val="32"/>
          <w:szCs w:val="32"/>
          <w:u w:val="none"/>
          <w:lang w:val="en-US" w:eastAsia="zh-CN"/>
        </w:rPr>
        <w:t>5.项目荣誉</w:t>
      </w:r>
      <w:r>
        <w:rPr>
          <w:rFonts w:hint="eastAsia" w:ascii="楷体_GB2312" w:eastAsia="楷体_GB2312"/>
          <w:b/>
          <w:bCs/>
          <w:sz w:val="32"/>
          <w:szCs w:val="32"/>
          <w:u w:val="none"/>
          <w:lang w:val="en-US" w:eastAsia="zh-CN"/>
        </w:rPr>
        <w:t>。</w:t>
      </w:r>
      <w:r>
        <w:rPr>
          <w:rFonts w:hint="eastAsia" w:ascii="仿宋_GB2312" w:eastAsia="仿宋_GB2312"/>
          <w:sz w:val="32"/>
          <w:szCs w:val="32"/>
          <w:u w:val="none"/>
          <w:lang w:val="en-US" w:eastAsia="zh-CN"/>
        </w:rPr>
        <w:t>对</w:t>
      </w:r>
      <w:r>
        <w:rPr>
          <w:rFonts w:hint="eastAsia" w:ascii="仿宋_GB2312" w:eastAsia="仿宋_GB2312"/>
          <w:sz w:val="32"/>
          <w:szCs w:val="32"/>
          <w:u w:val="none"/>
          <w:lang w:eastAsia="zh-CN"/>
        </w:rPr>
        <w:t>工业</w:t>
      </w:r>
      <w:r>
        <w:rPr>
          <w:rFonts w:hint="eastAsia" w:ascii="仿宋_GB2312" w:eastAsia="仿宋_GB2312"/>
          <w:sz w:val="32"/>
          <w:szCs w:val="32"/>
          <w:u w:val="none"/>
          <w:lang w:val="en-US" w:eastAsia="zh-CN"/>
        </w:rPr>
        <w:t>企业、生产性服务业企业</w:t>
      </w:r>
      <w:r>
        <w:rPr>
          <w:rFonts w:hint="eastAsia" w:ascii="仿宋_GB2312" w:eastAsia="仿宋_GB2312"/>
          <w:sz w:val="32"/>
          <w:szCs w:val="32"/>
          <w:u w:val="none"/>
          <w:lang w:eastAsia="zh-CN"/>
        </w:rPr>
        <w:t>首次</w:t>
      </w:r>
      <w:r>
        <w:rPr>
          <w:rFonts w:hint="eastAsia" w:ascii="仿宋_GB2312" w:eastAsia="仿宋_GB2312"/>
          <w:sz w:val="32"/>
          <w:szCs w:val="32"/>
          <w:u w:val="none"/>
          <w:lang w:val="en-US" w:eastAsia="zh-CN"/>
        </w:rPr>
        <w:t>获国家级、市级和区级政府部门颁发的企业技术中心、工业设计中心、</w:t>
      </w:r>
      <w:r>
        <w:rPr>
          <w:rFonts w:hint="eastAsia" w:ascii="仿宋_GB2312" w:eastAsia="仿宋_GB2312"/>
          <w:sz w:val="32"/>
          <w:szCs w:val="32"/>
          <w:u w:val="none"/>
          <w:lang w:eastAsia="zh-CN"/>
        </w:rPr>
        <w:t>智能工厂、</w:t>
      </w:r>
      <w:r>
        <w:rPr>
          <w:rFonts w:hint="eastAsia" w:ascii="仿宋_GB2312" w:hAnsi="宋体" w:eastAsia="仿宋_GB2312" w:cs="仿宋_GB2312"/>
          <w:b w:val="0"/>
          <w:bCs w:val="0"/>
          <w:color w:val="000000"/>
          <w:kern w:val="0"/>
          <w:sz w:val="31"/>
          <w:szCs w:val="31"/>
          <w:u w:val="none"/>
          <w:lang w:val="en-US" w:eastAsia="zh-CN" w:bidi="ar"/>
        </w:rPr>
        <w:t>绿色工厂、老字号</w:t>
      </w:r>
      <w:r>
        <w:rPr>
          <w:rFonts w:hint="eastAsia" w:ascii="仿宋_GB2312" w:eastAsia="仿宋_GB2312"/>
          <w:sz w:val="32"/>
          <w:szCs w:val="32"/>
          <w:u w:val="none"/>
          <w:lang w:val="en-US" w:eastAsia="zh-CN"/>
        </w:rPr>
        <w:t>等荣誉称号的，分别给予国家级100万元、市级50万元、区级10万元的一次性奖励。</w:t>
      </w:r>
      <w:r>
        <w:rPr>
          <w:rFonts w:hint="eastAsia" w:ascii="仿宋_GB2312" w:eastAsia="仿宋_GB2312"/>
          <w:sz w:val="32"/>
          <w:szCs w:val="32"/>
          <w:u w:val="none"/>
          <w:lang w:eastAsia="zh-CN"/>
        </w:rPr>
        <w:t>对首次被</w:t>
      </w:r>
      <w:r>
        <w:rPr>
          <w:rFonts w:hint="eastAsia" w:ascii="仿宋_GB2312" w:eastAsia="仿宋_GB2312"/>
          <w:sz w:val="32"/>
          <w:szCs w:val="32"/>
          <w:u w:val="none"/>
        </w:rPr>
        <w:t>认定</w:t>
      </w:r>
      <w:r>
        <w:rPr>
          <w:rFonts w:hint="eastAsia" w:ascii="仿宋_GB2312" w:eastAsia="仿宋_GB2312"/>
          <w:sz w:val="32"/>
          <w:szCs w:val="32"/>
          <w:u w:val="none"/>
          <w:lang w:eastAsia="zh-CN"/>
        </w:rPr>
        <w:t>为</w:t>
      </w:r>
      <w:r>
        <w:rPr>
          <w:rFonts w:hint="eastAsia" w:ascii="仿宋_GB2312" w:eastAsia="仿宋_GB2312"/>
          <w:sz w:val="32"/>
          <w:szCs w:val="32"/>
          <w:u w:val="none"/>
        </w:rPr>
        <w:t>国家</w:t>
      </w:r>
      <w:r>
        <w:rPr>
          <w:rFonts w:hint="eastAsia" w:ascii="仿宋_GB2312" w:eastAsia="仿宋_GB2312"/>
          <w:sz w:val="32"/>
          <w:szCs w:val="32"/>
          <w:u w:val="none"/>
          <w:lang w:val="en-US" w:eastAsia="zh-CN"/>
        </w:rPr>
        <w:t>级</w:t>
      </w:r>
      <w:r>
        <w:rPr>
          <w:rFonts w:hint="eastAsia" w:ascii="仿宋_GB2312" w:eastAsia="仿宋_GB2312"/>
          <w:sz w:val="32"/>
          <w:szCs w:val="32"/>
          <w:u w:val="none"/>
        </w:rPr>
        <w:t>专精特新“小巨人”企业</w:t>
      </w:r>
      <w:r>
        <w:rPr>
          <w:rFonts w:hint="eastAsia" w:ascii="仿宋_GB2312" w:eastAsia="仿宋_GB2312"/>
          <w:sz w:val="32"/>
          <w:szCs w:val="32"/>
          <w:u w:val="none"/>
          <w:lang w:eastAsia="zh-CN"/>
        </w:rPr>
        <w:t>、市级</w:t>
      </w:r>
      <w:r>
        <w:rPr>
          <w:rFonts w:hint="eastAsia" w:ascii="仿宋_GB2312" w:eastAsia="仿宋_GB2312"/>
          <w:sz w:val="32"/>
          <w:szCs w:val="32"/>
          <w:u w:val="none"/>
        </w:rPr>
        <w:t>专精特新</w:t>
      </w:r>
      <w:r>
        <w:rPr>
          <w:rFonts w:hint="eastAsia" w:ascii="仿宋_GB2312" w:eastAsia="仿宋_GB2312"/>
          <w:sz w:val="32"/>
          <w:szCs w:val="32"/>
          <w:u w:val="none"/>
          <w:lang w:val="en-US" w:eastAsia="zh-CN"/>
        </w:rPr>
        <w:t>中小企业、</w:t>
      </w:r>
      <w:r>
        <w:rPr>
          <w:rFonts w:hint="eastAsia" w:ascii="仿宋_GB2312" w:eastAsia="仿宋_GB2312"/>
          <w:sz w:val="32"/>
          <w:szCs w:val="32"/>
          <w:u w:val="none"/>
          <w:lang w:eastAsia="zh-CN"/>
        </w:rPr>
        <w:t>市级</w:t>
      </w:r>
      <w:r>
        <w:rPr>
          <w:rFonts w:hint="eastAsia" w:ascii="仿宋_GB2312" w:eastAsia="仿宋_GB2312"/>
          <w:sz w:val="32"/>
          <w:szCs w:val="32"/>
          <w:u w:val="none"/>
          <w:lang w:val="en-US" w:eastAsia="zh-CN"/>
        </w:rPr>
        <w:t>创新型中小企业</w:t>
      </w:r>
      <w:r>
        <w:rPr>
          <w:rFonts w:hint="eastAsia" w:ascii="仿宋_GB2312" w:eastAsia="仿宋_GB2312"/>
          <w:sz w:val="32"/>
          <w:szCs w:val="32"/>
          <w:u w:val="none"/>
        </w:rPr>
        <w:t>，</w:t>
      </w:r>
      <w:r>
        <w:rPr>
          <w:rFonts w:hint="eastAsia" w:ascii="仿宋_GB2312" w:eastAsia="仿宋_GB2312"/>
          <w:sz w:val="32"/>
          <w:szCs w:val="32"/>
          <w:u w:val="none"/>
          <w:lang w:eastAsia="zh-CN"/>
        </w:rPr>
        <w:t>分别</w:t>
      </w:r>
      <w:r>
        <w:rPr>
          <w:rFonts w:hint="eastAsia" w:ascii="仿宋_GB2312" w:eastAsia="仿宋_GB2312"/>
          <w:sz w:val="32"/>
          <w:szCs w:val="32"/>
          <w:u w:val="none"/>
        </w:rPr>
        <w:t>给予</w:t>
      </w:r>
      <w:r>
        <w:rPr>
          <w:rFonts w:hint="eastAsia" w:ascii="仿宋_GB2312" w:eastAsia="仿宋_GB2312"/>
          <w:sz w:val="32"/>
          <w:szCs w:val="32"/>
          <w:u w:val="none"/>
          <w:lang w:val="en-US" w:eastAsia="zh-CN"/>
        </w:rPr>
        <w:t>100</w:t>
      </w:r>
      <w:r>
        <w:rPr>
          <w:rFonts w:hint="eastAsia" w:ascii="仿宋_GB2312" w:eastAsia="仿宋_GB2312"/>
          <w:sz w:val="32"/>
          <w:szCs w:val="32"/>
          <w:u w:val="none"/>
        </w:rPr>
        <w:t>万</w:t>
      </w:r>
      <w:r>
        <w:rPr>
          <w:rFonts w:hint="eastAsia" w:ascii="仿宋_GB2312" w:eastAsia="仿宋_GB2312"/>
          <w:sz w:val="32"/>
          <w:szCs w:val="32"/>
          <w:u w:val="none"/>
          <w:lang w:eastAsia="zh-CN"/>
        </w:rPr>
        <w:t>元、</w:t>
      </w:r>
      <w:r>
        <w:rPr>
          <w:rFonts w:hint="eastAsia" w:ascii="仿宋_GB2312" w:eastAsia="仿宋_GB2312"/>
          <w:sz w:val="32"/>
          <w:szCs w:val="32"/>
          <w:u w:val="none"/>
          <w:lang w:val="en-US" w:eastAsia="zh-CN"/>
        </w:rPr>
        <w:t>50</w:t>
      </w:r>
      <w:r>
        <w:rPr>
          <w:rFonts w:hint="eastAsia" w:ascii="仿宋_GB2312" w:eastAsia="仿宋_GB2312"/>
          <w:sz w:val="32"/>
          <w:szCs w:val="32"/>
          <w:u w:val="none"/>
        </w:rPr>
        <w:t>万</w:t>
      </w:r>
      <w:r>
        <w:rPr>
          <w:rFonts w:hint="eastAsia" w:ascii="仿宋_GB2312" w:eastAsia="仿宋_GB2312"/>
          <w:sz w:val="32"/>
          <w:szCs w:val="32"/>
          <w:u w:val="none"/>
          <w:lang w:eastAsia="zh-CN"/>
        </w:rPr>
        <w:t>元、</w:t>
      </w:r>
      <w:r>
        <w:rPr>
          <w:rFonts w:hint="eastAsia" w:ascii="仿宋_GB2312" w:eastAsia="仿宋_GB2312"/>
          <w:sz w:val="32"/>
          <w:szCs w:val="32"/>
          <w:u w:val="none"/>
          <w:lang w:val="en-US" w:eastAsia="zh-CN"/>
        </w:rPr>
        <w:t>10</w:t>
      </w:r>
      <w:r>
        <w:rPr>
          <w:rFonts w:hint="eastAsia" w:ascii="仿宋_GB2312" w:eastAsia="仿宋_GB2312"/>
          <w:sz w:val="32"/>
          <w:szCs w:val="32"/>
          <w:u w:val="none"/>
        </w:rPr>
        <w:t>万</w:t>
      </w:r>
      <w:r>
        <w:rPr>
          <w:rFonts w:hint="eastAsia" w:ascii="仿宋_GB2312" w:eastAsia="仿宋_GB2312"/>
          <w:sz w:val="32"/>
          <w:szCs w:val="32"/>
          <w:u w:val="none"/>
          <w:lang w:eastAsia="zh-CN"/>
        </w:rPr>
        <w:t>元</w:t>
      </w:r>
      <w:r>
        <w:rPr>
          <w:rFonts w:hint="eastAsia" w:ascii="仿宋_GB2312" w:eastAsia="仿宋_GB2312"/>
          <w:sz w:val="32"/>
          <w:szCs w:val="32"/>
          <w:u w:val="none"/>
        </w:rPr>
        <w:t>的一次性奖励</w:t>
      </w:r>
      <w:r>
        <w:rPr>
          <w:rFonts w:hint="eastAsia" w:ascii="仿宋_GB2312" w:eastAsia="仿宋_GB2312"/>
          <w:sz w:val="32"/>
          <w:szCs w:val="32"/>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b w:val="0"/>
          <w:bCs w:val="0"/>
          <w:u w:val="none"/>
        </w:rPr>
      </w:pPr>
      <w:r>
        <w:rPr>
          <w:rFonts w:hint="eastAsia" w:ascii="仿宋_GB2312" w:hAnsi="宋体" w:eastAsia="仿宋_GB2312" w:cs="仿宋_GB2312"/>
          <w:b/>
          <w:bCs/>
          <w:color w:val="000000"/>
          <w:kern w:val="0"/>
          <w:sz w:val="31"/>
          <w:szCs w:val="31"/>
          <w:u w:val="none"/>
          <w:lang w:val="en-US" w:eastAsia="zh-CN" w:bidi="ar"/>
        </w:rPr>
        <w:t>6.生产设备技改</w:t>
      </w:r>
      <w:r>
        <w:rPr>
          <w:rFonts w:hint="eastAsia" w:ascii="仿宋_GB2312" w:hAnsi="宋体" w:eastAsia="仿宋_GB2312" w:cs="仿宋_GB2312"/>
          <w:b w:val="0"/>
          <w:bCs w:val="0"/>
          <w:color w:val="000000"/>
          <w:kern w:val="0"/>
          <w:sz w:val="31"/>
          <w:szCs w:val="31"/>
          <w:u w:val="none"/>
          <w:lang w:val="en-US" w:eastAsia="zh-CN" w:bidi="ar"/>
        </w:rPr>
        <w:t>。对</w:t>
      </w:r>
      <w:r>
        <w:rPr>
          <w:rFonts w:hint="eastAsia" w:ascii="仿宋_GB2312" w:eastAsia="仿宋_GB2312"/>
          <w:sz w:val="32"/>
          <w:szCs w:val="32"/>
          <w:u w:val="none"/>
          <w:lang w:eastAsia="zh-CN"/>
        </w:rPr>
        <w:t>工业企业</w:t>
      </w:r>
      <w:r>
        <w:rPr>
          <w:rFonts w:hint="eastAsia" w:ascii="仿宋_GB2312" w:hAnsi="宋体" w:eastAsia="仿宋_GB2312" w:cs="仿宋_GB2312"/>
          <w:b w:val="0"/>
          <w:bCs w:val="0"/>
          <w:color w:val="000000"/>
          <w:kern w:val="0"/>
          <w:sz w:val="31"/>
          <w:szCs w:val="31"/>
          <w:u w:val="none"/>
          <w:lang w:val="en-US" w:eastAsia="zh-CN" w:bidi="ar"/>
        </w:rPr>
        <w:t>总投入达到150万元及以上的生产线技术改造项目，经备案认定，按项目设备投资的10%给予资金扶持，最高不超过500万元。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7.环保设备技改</w:t>
      </w:r>
      <w:r>
        <w:rPr>
          <w:rFonts w:hint="eastAsia" w:ascii="仿宋_GB2312" w:hAnsi="宋体" w:eastAsia="仿宋_GB2312" w:cs="仿宋_GB2312"/>
          <w:b w:val="0"/>
          <w:bCs w:val="0"/>
          <w:color w:val="000000"/>
          <w:kern w:val="0"/>
          <w:sz w:val="31"/>
          <w:szCs w:val="31"/>
          <w:u w:val="none"/>
          <w:lang w:val="en-US" w:eastAsia="zh-CN" w:bidi="ar"/>
        </w:rPr>
        <w:t>。对工业企业购置环保设备的技术改造项目，经备案认定，按项目</w:t>
      </w:r>
      <w:r>
        <w:rPr>
          <w:rFonts w:hint="eastAsia" w:ascii="仿宋_GB2312" w:hAnsi="宋体" w:eastAsia="仿宋_GB2312" w:cs="仿宋_GB2312"/>
          <w:color w:val="000000"/>
          <w:kern w:val="0"/>
          <w:sz w:val="31"/>
          <w:szCs w:val="31"/>
          <w:u w:val="none"/>
          <w:lang w:val="en-US" w:eastAsia="zh-CN" w:bidi="ar"/>
        </w:rPr>
        <w:t>设备投资的20%给予资金扶持，最高不超过</w:t>
      </w:r>
      <w:r>
        <w:rPr>
          <w:rFonts w:hint="eastAsia" w:ascii="仿宋_GB2312" w:hAnsi="宋体" w:eastAsia="仿宋_GB2312" w:cs="仿宋_GB2312"/>
          <w:strike w:val="0"/>
          <w:dstrike w:val="0"/>
          <w:color w:val="000000"/>
          <w:kern w:val="0"/>
          <w:sz w:val="31"/>
          <w:szCs w:val="31"/>
          <w:u w:val="none"/>
          <w:lang w:val="en-US" w:eastAsia="zh-CN" w:bidi="ar"/>
        </w:rPr>
        <w:t>200万元</w:t>
      </w:r>
      <w:r>
        <w:rPr>
          <w:rFonts w:hint="eastAsia" w:ascii="仿宋_GB2312" w:hAnsi="宋体" w:eastAsia="仿宋_GB2312" w:cs="仿宋_GB2312"/>
          <w:color w:val="000000"/>
          <w:kern w:val="0"/>
          <w:sz w:val="31"/>
          <w:szCs w:val="3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rFonts w:hint="eastAsia" w:ascii="仿宋_GB2312" w:eastAsia="仿宋_GB2312"/>
          <w:sz w:val="32"/>
          <w:szCs w:val="32"/>
          <w:u w:val="none"/>
          <w:lang w:val="en-US" w:eastAsia="zh-CN"/>
        </w:rPr>
      </w:pPr>
      <w:r>
        <w:rPr>
          <w:rFonts w:hint="eastAsia" w:ascii="仿宋_GB2312" w:hAnsi="宋体" w:eastAsia="仿宋_GB2312" w:cs="仿宋_GB2312"/>
          <w:b/>
          <w:bCs/>
          <w:color w:val="000000"/>
          <w:kern w:val="0"/>
          <w:sz w:val="31"/>
          <w:szCs w:val="31"/>
          <w:u w:val="none"/>
          <w:lang w:val="en-US" w:eastAsia="zh-CN" w:bidi="ar"/>
        </w:rPr>
        <w:t>8.新产品高端突破。</w:t>
      </w:r>
      <w:r>
        <w:rPr>
          <w:rFonts w:hint="eastAsia" w:ascii="仿宋_GB2312" w:hAnsi="宋体" w:eastAsia="仿宋_GB2312" w:cs="仿宋_GB2312"/>
          <w:color w:val="000000"/>
          <w:kern w:val="0"/>
          <w:sz w:val="31"/>
          <w:szCs w:val="31"/>
          <w:u w:val="none"/>
          <w:lang w:val="en-US" w:eastAsia="zh-CN" w:bidi="ar"/>
        </w:rPr>
        <w:t xml:space="preserve">对被认定为上海市促进产业高质量发展专项资金项目、上海市高端智能装备专项首台套突破项目或示范应用项目等其他市级需要区级配套的项目，给予市级扶持资金的30%配套，最高不超过500万元。对被认定为上海市首批次新材料专项的重点项目或一般项目，给予市级扶持资金的30%配套。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（三）支持企业降本减负</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eastAsia="仿宋_GB2312"/>
          <w:sz w:val="32"/>
          <w:szCs w:val="32"/>
          <w:u w:val="none"/>
          <w:lang w:val="en-US" w:eastAsia="zh-CN"/>
        </w:rPr>
      </w:pPr>
      <w:r>
        <w:rPr>
          <w:rFonts w:hint="eastAsia" w:ascii="仿宋_GB2312" w:hAnsi="仿宋_GB2312" w:eastAsia="仿宋_GB2312" w:cs="仿宋_GB2312"/>
          <w:b/>
          <w:bCs/>
          <w:sz w:val="32"/>
          <w:szCs w:val="32"/>
          <w:u w:val="none"/>
          <w:lang w:val="en-US" w:eastAsia="zh-CN"/>
        </w:rPr>
        <w:t>9.贷款利息</w:t>
      </w:r>
      <w:r>
        <w:rPr>
          <w:rFonts w:hint="eastAsia" w:ascii="楷体_GB2312" w:eastAsia="楷体_GB2312"/>
          <w:b/>
          <w:bCs/>
          <w:sz w:val="32"/>
          <w:szCs w:val="32"/>
          <w:u w:val="none"/>
          <w:lang w:val="en-US" w:eastAsia="zh-CN"/>
        </w:rPr>
        <w:t>。</w:t>
      </w:r>
      <w:r>
        <w:rPr>
          <w:rFonts w:hint="eastAsia" w:ascii="仿宋_GB2312" w:eastAsia="仿宋_GB2312"/>
          <w:sz w:val="32"/>
          <w:szCs w:val="32"/>
          <w:u w:val="none"/>
          <w:lang w:val="en-US" w:eastAsia="zh-CN"/>
        </w:rPr>
        <w:t>对符合本区生态产业发展要求并获相关部门立项批准的项目，固定资产单笔贷款300万元（含）以上，且该笔贷款与银行已结清的，按照实际发生利息的50%给予奖励，最高不超过300万元。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u w:val="none"/>
          <w:lang w:eastAsia="zh-CN"/>
        </w:rPr>
      </w:pPr>
      <w:r>
        <w:rPr>
          <w:rFonts w:hint="eastAsia" w:ascii="仿宋_GB2312" w:hAnsi="仿宋_GB2312" w:eastAsia="仿宋_GB2312" w:cs="仿宋_GB2312"/>
          <w:b/>
          <w:bCs/>
          <w:sz w:val="32"/>
          <w:szCs w:val="32"/>
          <w:u w:val="none"/>
          <w:lang w:val="en-US" w:eastAsia="zh-CN"/>
        </w:rPr>
        <w:t>10.交通物流</w:t>
      </w:r>
      <w:r>
        <w:rPr>
          <w:rFonts w:hint="eastAsia" w:ascii="楷体_GB2312" w:eastAsia="楷体_GB2312"/>
          <w:sz w:val="32"/>
          <w:szCs w:val="32"/>
          <w:u w:val="none"/>
          <w:lang w:eastAsia="zh-CN"/>
        </w:rPr>
        <w:t>。</w:t>
      </w:r>
      <w:r>
        <w:rPr>
          <w:rFonts w:hint="eastAsia" w:ascii="仿宋_GB2312" w:eastAsia="仿宋_GB2312"/>
          <w:sz w:val="32"/>
          <w:szCs w:val="32"/>
          <w:u w:val="none"/>
        </w:rPr>
        <w:t>对规</w:t>
      </w:r>
      <w:r>
        <w:rPr>
          <w:rFonts w:hint="eastAsia" w:ascii="仿宋_GB2312" w:eastAsia="仿宋_GB2312"/>
          <w:sz w:val="32"/>
          <w:szCs w:val="32"/>
          <w:u w:val="none"/>
          <w:lang w:eastAsia="zh-CN"/>
        </w:rPr>
        <w:t>模以</w:t>
      </w:r>
      <w:r>
        <w:rPr>
          <w:rFonts w:hint="eastAsia" w:ascii="仿宋_GB2312" w:eastAsia="仿宋_GB2312"/>
          <w:sz w:val="32"/>
          <w:szCs w:val="32"/>
          <w:u w:val="none"/>
        </w:rPr>
        <w:t>上</w:t>
      </w:r>
      <w:r>
        <w:rPr>
          <w:rFonts w:hint="eastAsia" w:ascii="仿宋_GB2312" w:eastAsia="仿宋_GB2312"/>
          <w:sz w:val="32"/>
          <w:szCs w:val="32"/>
          <w:u w:val="none"/>
          <w:lang w:eastAsia="zh-CN"/>
        </w:rPr>
        <w:t>工业</w:t>
      </w:r>
      <w:r>
        <w:rPr>
          <w:rFonts w:hint="eastAsia" w:ascii="仿宋_GB2312" w:eastAsia="仿宋_GB2312"/>
          <w:sz w:val="32"/>
          <w:szCs w:val="32"/>
          <w:u w:val="none"/>
        </w:rPr>
        <w:t>企业</w:t>
      </w:r>
      <w:r>
        <w:rPr>
          <w:rFonts w:hint="eastAsia" w:ascii="仿宋_GB2312" w:eastAsia="仿宋_GB2312"/>
          <w:sz w:val="32"/>
          <w:szCs w:val="32"/>
          <w:u w:val="none"/>
          <w:lang w:eastAsia="zh-CN"/>
        </w:rPr>
        <w:t>交通物流费给予扶持，上一</w:t>
      </w:r>
      <w:r>
        <w:rPr>
          <w:rFonts w:hint="eastAsia" w:ascii="仿宋_GB2312" w:eastAsia="仿宋_GB2312"/>
          <w:sz w:val="32"/>
          <w:szCs w:val="32"/>
          <w:u w:val="none"/>
        </w:rPr>
        <w:t>年度</w:t>
      </w:r>
      <w:r>
        <w:rPr>
          <w:rFonts w:hint="eastAsia" w:ascii="仿宋_GB2312" w:eastAsia="仿宋_GB2312"/>
          <w:sz w:val="32"/>
          <w:szCs w:val="32"/>
          <w:u w:val="none"/>
          <w:lang w:eastAsia="zh-CN"/>
        </w:rPr>
        <w:t>主营业务收入</w:t>
      </w:r>
      <w:r>
        <w:rPr>
          <w:rFonts w:hint="eastAsia" w:ascii="仿宋_GB2312" w:eastAsia="仿宋_GB2312"/>
          <w:sz w:val="32"/>
          <w:szCs w:val="32"/>
          <w:u w:val="none"/>
        </w:rPr>
        <w:t>不足</w:t>
      </w:r>
      <w:r>
        <w:rPr>
          <w:rFonts w:hint="eastAsia" w:ascii="仿宋_GB2312" w:eastAsia="仿宋_GB2312"/>
          <w:sz w:val="32"/>
          <w:szCs w:val="32"/>
          <w:u w:val="none"/>
          <w:lang w:val="en-US" w:eastAsia="zh-CN"/>
        </w:rPr>
        <w:t>5000万元、5000万元（含）-2亿元（不含）</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2</w:t>
      </w:r>
      <w:r>
        <w:rPr>
          <w:rFonts w:hint="eastAsia" w:ascii="仿宋_GB2312" w:eastAsia="仿宋_GB2312"/>
          <w:sz w:val="32"/>
          <w:szCs w:val="32"/>
          <w:u w:val="none"/>
        </w:rPr>
        <w:t>亿元</w:t>
      </w:r>
      <w:r>
        <w:rPr>
          <w:rFonts w:hint="eastAsia" w:ascii="仿宋_GB2312" w:eastAsia="仿宋_GB2312"/>
          <w:sz w:val="32"/>
          <w:szCs w:val="32"/>
          <w:u w:val="none"/>
          <w:lang w:val="en-US" w:eastAsia="zh-CN"/>
        </w:rPr>
        <w:t>-5亿元（不含）、5</w:t>
      </w:r>
      <w:r>
        <w:rPr>
          <w:rFonts w:hint="eastAsia" w:ascii="仿宋_GB2312" w:eastAsia="仿宋_GB2312"/>
          <w:sz w:val="32"/>
          <w:szCs w:val="32"/>
          <w:u w:val="none"/>
        </w:rPr>
        <w:t>亿元</w:t>
      </w:r>
      <w:r>
        <w:rPr>
          <w:rFonts w:hint="eastAsia" w:ascii="仿宋_GB2312" w:eastAsia="仿宋_GB2312"/>
          <w:sz w:val="32"/>
          <w:szCs w:val="32"/>
          <w:u w:val="none"/>
          <w:lang w:val="en-US" w:eastAsia="zh-CN"/>
        </w:rPr>
        <w:t>-10亿元（不含）、10亿元以上的</w:t>
      </w:r>
      <w:r>
        <w:rPr>
          <w:rFonts w:hint="eastAsia" w:ascii="仿宋_GB2312" w:eastAsia="仿宋_GB2312"/>
          <w:sz w:val="32"/>
          <w:szCs w:val="32"/>
          <w:u w:val="none"/>
        </w:rPr>
        <w:t>，</w:t>
      </w:r>
      <w:r>
        <w:rPr>
          <w:rFonts w:hint="eastAsia" w:ascii="仿宋_GB2312" w:eastAsia="仿宋_GB2312"/>
          <w:sz w:val="32"/>
          <w:szCs w:val="32"/>
          <w:u w:val="none"/>
          <w:lang w:eastAsia="zh-CN"/>
        </w:rPr>
        <w:t>分别给予</w:t>
      </w:r>
      <w:r>
        <w:rPr>
          <w:rFonts w:hint="eastAsia" w:ascii="仿宋_GB2312" w:eastAsia="仿宋_GB2312"/>
          <w:sz w:val="32"/>
          <w:szCs w:val="32"/>
          <w:u w:val="none"/>
        </w:rPr>
        <w:t>每年</w:t>
      </w:r>
      <w:r>
        <w:rPr>
          <w:rFonts w:hint="eastAsia" w:ascii="仿宋_GB2312" w:eastAsia="仿宋_GB2312"/>
          <w:sz w:val="32"/>
          <w:szCs w:val="32"/>
          <w:u w:val="none"/>
          <w:lang w:val="en-US" w:eastAsia="zh-CN"/>
        </w:rPr>
        <w:t>5万元</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15万元、35万元、50万元、70万元</w:t>
      </w:r>
      <w:r>
        <w:rPr>
          <w:rFonts w:hint="eastAsia" w:ascii="仿宋_GB2312" w:eastAsia="仿宋_GB2312"/>
          <w:sz w:val="32"/>
          <w:szCs w:val="32"/>
          <w:u w:val="none"/>
          <w:lang w:eastAsia="zh-CN"/>
        </w:rPr>
        <w:t>的奖励。</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对限额以上商贸企业交通物流费给予支持，上一年度主营业务收入不足2000万元、2000万元（含）-5000万元（不含）、5000万元-1亿元（不含）、1亿元-5亿元（不含）、5亿元以上的，分别给予每年5万元、10万元、20万元、30万元、40万元的奖励。</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rFonts w:hint="eastAsia" w:ascii="仿宋_GB2312" w:eastAsia="仿宋_GB2312"/>
          <w:sz w:val="32"/>
          <w:szCs w:val="32"/>
          <w:u w:val="none"/>
          <w:lang w:val="en-US" w:eastAsia="zh-CN"/>
        </w:rPr>
      </w:pPr>
      <w:r>
        <w:rPr>
          <w:rFonts w:hint="eastAsia" w:ascii="楷体_GB2312" w:hAnsi="楷体_GB2312" w:eastAsia="楷体_GB2312" w:cs="楷体_GB2312"/>
          <w:b/>
          <w:bCs/>
          <w:color w:val="000000"/>
          <w:kern w:val="0"/>
          <w:sz w:val="31"/>
          <w:szCs w:val="31"/>
          <w:u w:val="none"/>
          <w:lang w:val="en-US" w:eastAsia="zh-CN" w:bidi="ar"/>
        </w:rPr>
        <w:t>11.开拓国内市场。</w:t>
      </w:r>
      <w:r>
        <w:rPr>
          <w:rFonts w:hint="eastAsia" w:ascii="仿宋_GB2312" w:hAnsi="宋体" w:eastAsia="仿宋_GB2312" w:cs="仿宋_GB2312"/>
          <w:color w:val="000000"/>
          <w:kern w:val="0"/>
          <w:sz w:val="31"/>
          <w:szCs w:val="31"/>
          <w:u w:val="none"/>
          <w:lang w:val="en-US" w:eastAsia="zh-CN" w:bidi="ar"/>
        </w:rPr>
        <w:t xml:space="preserve">对企业参加经国家或省（直辖市）相关主管部门批准举办的国内相应级别展览会，经评审符合条件的参展项目给予展位费50%的补贴，同一企业、产品及品牌每年累计最高不超过50万元。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（四）支持企业向园区集中</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u w:val="none"/>
        </w:rPr>
      </w:pPr>
      <w:r>
        <w:rPr>
          <w:rFonts w:hint="eastAsia" w:ascii="仿宋_GB2312" w:hAnsi="仿宋_GB2312" w:eastAsia="仿宋_GB2312" w:cs="仿宋_GB2312"/>
          <w:b/>
          <w:bCs/>
          <w:sz w:val="32"/>
          <w:szCs w:val="32"/>
          <w:u w:val="none"/>
          <w:lang w:val="en-US" w:eastAsia="zh-CN"/>
        </w:rPr>
        <w:t>12.项目落地。</w:t>
      </w:r>
      <w:r>
        <w:rPr>
          <w:rFonts w:hint="eastAsia" w:ascii="仿宋_GB2312" w:hAnsi="宋体" w:eastAsia="仿宋_GB2312" w:cs="仿宋_GB2312"/>
          <w:color w:val="000000"/>
          <w:kern w:val="0"/>
          <w:sz w:val="31"/>
          <w:szCs w:val="31"/>
          <w:u w:val="none"/>
          <w:lang w:val="en-US" w:eastAsia="zh-CN" w:bidi="ar"/>
        </w:rPr>
        <w:t xml:space="preserve">对产业园区新引进落地的工业项目，经认定符合崇明产业发展导向，按项目设备的固定资产总投资的10%最高不超过2000万元给予资金支持。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u w:val="none"/>
          <w:lang w:val="en-US" w:eastAsia="zh-CN"/>
        </w:rPr>
      </w:pPr>
      <w:r>
        <w:rPr>
          <w:rFonts w:hint="eastAsia" w:ascii="仿宋_GB2312" w:hAnsi="仿宋_GB2312" w:eastAsia="仿宋_GB2312" w:cs="仿宋_GB2312"/>
          <w:b/>
          <w:bCs/>
          <w:sz w:val="32"/>
          <w:szCs w:val="32"/>
          <w:u w:val="none"/>
          <w:lang w:val="en-US" w:eastAsia="zh-CN"/>
        </w:rPr>
        <w:t>13.租金补贴。</w:t>
      </w:r>
      <w:r>
        <w:rPr>
          <w:rFonts w:hint="eastAsia" w:ascii="仿宋_GB2312" w:eastAsia="仿宋_GB2312"/>
          <w:sz w:val="32"/>
          <w:szCs w:val="32"/>
          <w:u w:val="none"/>
          <w:lang w:val="en-US" w:eastAsia="zh-CN"/>
        </w:rPr>
        <w:t>对向园区集中并租赁园区标准厂房的工业企业，经认定符合产业园区发展导向，免除其第一年租金，并减免第二、三年一半租金。后续对规模以上工业企业租赁产业园区标准厂房1000平方米以上，且年税收产出30万元/亩（含）以上，可按不超过其当年租金的50%予以奖励。</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eastAsia="仿宋_GB2312"/>
          <w:sz w:val="32"/>
          <w:szCs w:val="32"/>
          <w:u w:val="none"/>
        </w:rPr>
      </w:pPr>
      <w:r>
        <w:rPr>
          <w:rFonts w:hint="eastAsia" w:ascii="仿宋_GB2312" w:hAnsi="仿宋_GB2312" w:eastAsia="仿宋_GB2312" w:cs="仿宋_GB2312"/>
          <w:b/>
          <w:bCs/>
          <w:sz w:val="32"/>
          <w:szCs w:val="32"/>
          <w:u w:val="none"/>
          <w:lang w:val="en-US" w:eastAsia="zh-CN"/>
        </w:rPr>
        <w:t>14.迁入园区。</w:t>
      </w:r>
      <w:r>
        <w:rPr>
          <w:rFonts w:hint="eastAsia" w:ascii="仿宋_GB2312" w:eastAsia="仿宋_GB2312"/>
          <w:sz w:val="32"/>
          <w:szCs w:val="32"/>
          <w:u w:val="none"/>
          <w:lang w:val="en-US" w:eastAsia="zh-CN"/>
        </w:rPr>
        <w:t>对向园区集中并拿地的工业企业，且在土地出让合同约定期限内投产的，给予每亩15万元的扶持补贴。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u w:val="none"/>
          <w:lang w:val="en-US" w:eastAsia="zh-CN"/>
        </w:rPr>
      </w:pPr>
      <w:r>
        <w:rPr>
          <w:rFonts w:hint="eastAsia" w:ascii="仿宋_GB2312" w:hAnsi="仿宋_GB2312" w:eastAsia="仿宋_GB2312" w:cs="仿宋_GB2312"/>
          <w:b/>
          <w:bCs/>
          <w:sz w:val="32"/>
          <w:szCs w:val="32"/>
          <w:u w:val="none"/>
          <w:lang w:val="en-US" w:eastAsia="zh-CN"/>
        </w:rPr>
        <w:t>15.土地腾退。</w:t>
      </w:r>
      <w:r>
        <w:rPr>
          <w:rFonts w:hint="eastAsia" w:ascii="仿宋_GB2312" w:eastAsia="仿宋_GB2312"/>
          <w:sz w:val="32"/>
          <w:szCs w:val="32"/>
          <w:u w:val="none"/>
          <w:lang w:val="en-US" w:eastAsia="zh-CN"/>
        </w:rPr>
        <w:t>对乡镇零星工业用地上的现状企业，经认定符合产业园区发展导向，自愿搬迁至产业园区，并原使用工业建设用地完成减量并腾退的，按企业零星工业用地权证面积，给予每亩30万元的奖励。</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rFonts w:hint="eastAsia" w:ascii="楷体_GB2312" w:hAnsi="楷体_GB2312" w:eastAsia="楷体_GB2312" w:cs="楷体_GB2312"/>
          <w:b/>
          <w:bCs/>
          <w:color w:val="000000"/>
          <w:kern w:val="0"/>
          <w:sz w:val="31"/>
          <w:szCs w:val="31"/>
          <w:u w:val="none"/>
          <w:lang w:val="en-US" w:eastAsia="zh-CN" w:bidi="ar"/>
        </w:rPr>
      </w:pPr>
      <w:r>
        <w:rPr>
          <w:rFonts w:hint="eastAsia" w:ascii="楷体_GB2312" w:hAnsi="楷体_GB2312" w:eastAsia="楷体_GB2312" w:cs="楷体_GB2312"/>
          <w:b/>
          <w:bCs/>
          <w:color w:val="000000"/>
          <w:kern w:val="0"/>
          <w:sz w:val="31"/>
          <w:szCs w:val="31"/>
          <w:u w:val="none"/>
          <w:lang w:val="en-US" w:eastAsia="zh-CN" w:bidi="ar"/>
        </w:rPr>
        <w:t>（五）支持企业绿色创先</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16.合同能源管理。</w:t>
      </w:r>
      <w:r>
        <w:rPr>
          <w:rFonts w:hint="eastAsia" w:ascii="仿宋_GB2312" w:hAnsi="宋体" w:eastAsia="仿宋_GB2312" w:cs="仿宋_GB2312"/>
          <w:b w:val="0"/>
          <w:bCs w:val="0"/>
          <w:color w:val="000000"/>
          <w:kern w:val="0"/>
          <w:sz w:val="31"/>
          <w:szCs w:val="31"/>
          <w:u w:val="none"/>
          <w:lang w:val="en-US" w:eastAsia="zh-CN" w:bidi="ar"/>
        </w:rPr>
        <w:t>对</w:t>
      </w:r>
      <w:r>
        <w:rPr>
          <w:rFonts w:hint="eastAsia" w:ascii="仿宋_GB2312" w:eastAsia="仿宋_GB2312"/>
          <w:b w:val="0"/>
          <w:bCs w:val="0"/>
          <w:sz w:val="32"/>
          <w:szCs w:val="32"/>
          <w:u w:val="none"/>
          <w:lang w:val="en-US" w:eastAsia="zh-CN"/>
        </w:rPr>
        <w:t>企业上一年度</w:t>
      </w:r>
      <w:r>
        <w:rPr>
          <w:rFonts w:hint="eastAsia" w:ascii="仿宋_GB2312" w:hAnsi="宋体" w:eastAsia="仿宋_GB2312" w:cs="仿宋_GB2312"/>
          <w:b w:val="0"/>
          <w:bCs w:val="0"/>
          <w:color w:val="000000"/>
          <w:kern w:val="0"/>
          <w:sz w:val="31"/>
          <w:szCs w:val="31"/>
          <w:u w:val="none"/>
          <w:lang w:val="en-US" w:eastAsia="zh-CN" w:bidi="ar"/>
        </w:rPr>
        <w:t>节能量达到50吨标煤及以上的合同能源管理项目，按照 600元/吨标煤的标准对于用能企业予以一次性奖励，单个项目最高不超过200万元。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u w:val="none"/>
        </w:rPr>
      </w:pPr>
      <w:r>
        <w:rPr>
          <w:rFonts w:hint="eastAsia" w:ascii="仿宋_GB2312" w:hAnsi="宋体" w:eastAsia="仿宋_GB2312" w:cs="仿宋_GB2312"/>
          <w:b/>
          <w:bCs/>
          <w:color w:val="000000"/>
          <w:kern w:val="0"/>
          <w:sz w:val="31"/>
          <w:szCs w:val="31"/>
          <w:u w:val="none"/>
          <w:lang w:val="en-US" w:eastAsia="zh-CN" w:bidi="ar"/>
        </w:rPr>
        <w:t>17.节能新产品。</w:t>
      </w:r>
      <w:r>
        <w:rPr>
          <w:rFonts w:hint="eastAsia" w:ascii="仿宋_GB2312" w:hAnsi="宋体" w:eastAsia="仿宋_GB2312" w:cs="仿宋_GB2312"/>
          <w:b w:val="0"/>
          <w:bCs w:val="0"/>
          <w:color w:val="000000"/>
          <w:kern w:val="0"/>
          <w:sz w:val="31"/>
          <w:szCs w:val="31"/>
          <w:u w:val="none"/>
          <w:lang w:val="en-US" w:eastAsia="zh-CN" w:bidi="ar"/>
        </w:rPr>
        <w:t>对列入上海市</w:t>
      </w:r>
      <w:r>
        <w:rPr>
          <w:rFonts w:hint="eastAsia" w:ascii="仿宋_GB2312" w:hAnsi="宋体" w:eastAsia="仿宋_GB2312" w:cs="仿宋_GB2312"/>
          <w:color w:val="000000"/>
          <w:kern w:val="0"/>
          <w:sz w:val="31"/>
          <w:szCs w:val="31"/>
          <w:u w:val="none"/>
          <w:lang w:val="en-US" w:eastAsia="zh-CN" w:bidi="ar"/>
        </w:rPr>
        <w:t xml:space="preserve">节能新产品目录的生产型企业，给予一次性奖励50万元。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u w:val="none"/>
        </w:rPr>
      </w:pPr>
      <w:r>
        <w:rPr>
          <w:rFonts w:hint="eastAsia" w:ascii="仿宋_GB2312" w:hAnsi="宋体" w:eastAsia="仿宋_GB2312" w:cs="仿宋_GB2312"/>
          <w:b/>
          <w:bCs/>
          <w:color w:val="000000"/>
          <w:kern w:val="0"/>
          <w:sz w:val="31"/>
          <w:szCs w:val="31"/>
          <w:u w:val="none"/>
          <w:lang w:val="en-US" w:eastAsia="zh-CN" w:bidi="ar"/>
        </w:rPr>
        <w:t>18.清洁生产。</w:t>
      </w:r>
      <w:r>
        <w:rPr>
          <w:rFonts w:hint="eastAsia" w:ascii="仿宋_GB2312" w:hAnsi="宋体" w:eastAsia="仿宋_GB2312" w:cs="仿宋_GB2312"/>
          <w:b w:val="0"/>
          <w:bCs w:val="0"/>
          <w:color w:val="000000"/>
          <w:kern w:val="0"/>
          <w:sz w:val="31"/>
          <w:szCs w:val="31"/>
          <w:u w:val="none"/>
          <w:lang w:val="en-US" w:eastAsia="zh-CN" w:bidi="ar"/>
        </w:rPr>
        <w:t>对</w:t>
      </w:r>
      <w:r>
        <w:rPr>
          <w:rFonts w:hint="eastAsia" w:ascii="仿宋_GB2312" w:hAnsi="宋体" w:eastAsia="仿宋_GB2312" w:cs="仿宋_GB2312"/>
          <w:color w:val="000000"/>
          <w:kern w:val="0"/>
          <w:sz w:val="31"/>
          <w:szCs w:val="31"/>
          <w:u w:val="none"/>
          <w:lang w:val="en-US" w:eastAsia="zh-CN" w:bidi="ar"/>
        </w:rPr>
        <w:t>通过清洁生产审核验收的</w:t>
      </w:r>
      <w:r>
        <w:rPr>
          <w:rFonts w:hint="eastAsia" w:ascii="仿宋_GB2312" w:eastAsia="仿宋_GB2312"/>
          <w:sz w:val="32"/>
          <w:szCs w:val="32"/>
          <w:u w:val="none"/>
          <w:lang w:eastAsia="zh-CN"/>
        </w:rPr>
        <w:t>工业</w:t>
      </w:r>
      <w:r>
        <w:rPr>
          <w:rFonts w:hint="eastAsia" w:ascii="仿宋_GB2312" w:hAnsi="宋体" w:eastAsia="仿宋_GB2312" w:cs="仿宋_GB2312"/>
          <w:color w:val="000000"/>
          <w:kern w:val="0"/>
          <w:sz w:val="31"/>
          <w:szCs w:val="31"/>
          <w:u w:val="none"/>
          <w:lang w:val="en-US" w:eastAsia="zh-CN" w:bidi="ar"/>
        </w:rPr>
        <w:t>企业，投资额在100万元以下的，给予一次性奖励15万元；投资额在100万元及以上的，给予一次性奖励30万元。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19.能源审计。</w:t>
      </w:r>
      <w:r>
        <w:rPr>
          <w:rFonts w:hint="eastAsia" w:ascii="仿宋_GB2312" w:hAnsi="宋体" w:eastAsia="仿宋_GB2312" w:cs="仿宋_GB2312"/>
          <w:color w:val="000000"/>
          <w:kern w:val="0"/>
          <w:sz w:val="31"/>
          <w:szCs w:val="31"/>
          <w:u w:val="none"/>
          <w:lang w:val="en-US" w:eastAsia="zh-CN" w:bidi="ar"/>
        </w:rPr>
        <w:t>对能耗1000吨以上的</w:t>
      </w:r>
      <w:r>
        <w:rPr>
          <w:rFonts w:hint="eastAsia" w:ascii="仿宋_GB2312" w:eastAsia="仿宋_GB2312"/>
          <w:sz w:val="32"/>
          <w:szCs w:val="32"/>
          <w:u w:val="none"/>
          <w:lang w:eastAsia="zh-CN"/>
        </w:rPr>
        <w:t>工业</w:t>
      </w:r>
      <w:r>
        <w:rPr>
          <w:rFonts w:hint="eastAsia" w:ascii="仿宋_GB2312" w:hAnsi="宋体" w:eastAsia="仿宋_GB2312" w:cs="仿宋_GB2312"/>
          <w:color w:val="000000"/>
          <w:kern w:val="0"/>
          <w:sz w:val="31"/>
          <w:szCs w:val="31"/>
          <w:u w:val="none"/>
          <w:lang w:val="en-US" w:eastAsia="zh-CN" w:bidi="ar"/>
        </w:rPr>
        <w:t xml:space="preserve">企业开展能源审计，其支出的能效诊断直接费用（包括能源管理体系建设、能源审计、水平衡电能平衡鉴定、锅炉热工测试等市有关文件规定的费用），给予100%的资金支持，单个项目最高不超过10万元。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2" w:firstLineChars="200"/>
        <w:jc w:val="left"/>
        <w:textAlignment w:val="auto"/>
        <w:rPr>
          <w:rFonts w:hint="eastAsia" w:ascii="楷体_GB2312" w:hAnsi="楷体_GB2312" w:eastAsia="楷体_GB2312" w:cs="楷体_GB2312"/>
          <w:b/>
          <w:bCs/>
          <w:color w:val="000000"/>
          <w:kern w:val="0"/>
          <w:sz w:val="31"/>
          <w:szCs w:val="31"/>
          <w:u w:val="none"/>
          <w:lang w:val="en-US" w:eastAsia="zh-CN" w:bidi="ar"/>
        </w:rPr>
      </w:pPr>
      <w:r>
        <w:rPr>
          <w:rFonts w:hint="eastAsia" w:ascii="楷体_GB2312" w:hAnsi="楷体_GB2312" w:eastAsia="楷体_GB2312" w:cs="楷体_GB2312"/>
          <w:b/>
          <w:bCs/>
          <w:color w:val="000000"/>
          <w:kern w:val="0"/>
          <w:sz w:val="31"/>
          <w:szCs w:val="31"/>
          <w:u w:val="none"/>
          <w:lang w:val="en-US" w:eastAsia="zh-CN" w:bidi="ar"/>
        </w:rPr>
        <w:t>（六）支持重点产业、新兴产业加快发展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left"/>
        <w:textAlignment w:val="auto"/>
        <w:rPr>
          <w:rFonts w:hint="eastAsia" w:ascii="黑体" w:hAnsi="黑体" w:eastAsia="黑体" w:cs="黑体"/>
          <w:sz w:val="32"/>
          <w:szCs w:val="32"/>
          <w:u w:val="none"/>
          <w:lang w:eastAsia="zh-CN"/>
        </w:rPr>
      </w:pPr>
      <w:r>
        <w:rPr>
          <w:rFonts w:hint="eastAsia" w:ascii="仿宋_GB2312" w:hAnsi="宋体" w:eastAsia="仿宋_GB2312" w:cs="仿宋_GB2312"/>
          <w:color w:val="000000"/>
          <w:kern w:val="0"/>
          <w:sz w:val="31"/>
          <w:szCs w:val="31"/>
          <w:u w:val="none"/>
          <w:lang w:val="en-US" w:eastAsia="zh-CN" w:bidi="ar"/>
        </w:rPr>
        <w:t>20.支持引导船舶海工重点产业领域加快向产业链高端化集聚，鼓励相关乡镇、园区围绕优质项目引进、高端化升级、协同研制、创新平台建设与应用、绿色化数智化转型等方面给予设置奖励支持条款。支持集成电路、人工智能、</w:t>
      </w:r>
      <w:r>
        <w:rPr>
          <w:rFonts w:hint="eastAsia" w:ascii="仿宋_GB2312" w:hAnsi="宋体" w:eastAsia="仿宋_GB2312"/>
          <w:sz w:val="32"/>
          <w:szCs w:val="32"/>
          <w:u w:val="none"/>
          <w:lang w:val="en-US" w:eastAsia="zh-CN"/>
        </w:rPr>
        <w:t>生物医药等先导产业创新发展，培育支持生命健康、绿色低碳、先进材料、时尚消费品等重点产业加快发展，鼓励先进制造业企业产业链攻关与应用创新，鼓励各单位围绕项目引进、科技创新、市场开拓、要素保障等方面</w:t>
      </w:r>
      <w:r>
        <w:rPr>
          <w:rFonts w:hint="eastAsia" w:ascii="仿宋_GB2312" w:hAnsi="宋体" w:eastAsia="仿宋_GB2312" w:cs="仿宋_GB2312"/>
          <w:color w:val="000000"/>
          <w:kern w:val="0"/>
          <w:sz w:val="31"/>
          <w:szCs w:val="31"/>
          <w:u w:val="none"/>
          <w:lang w:val="en-US" w:eastAsia="zh-CN" w:bidi="ar"/>
        </w:rPr>
        <w:t>给予设置奖励支持条款。</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000000"/>
          <w:kern w:val="0"/>
          <w:sz w:val="32"/>
          <w:szCs w:val="32"/>
          <w:u w:val="none"/>
          <w:lang w:val="en-US" w:eastAsia="zh-CN" w:bidi="ar"/>
        </w:rPr>
      </w:pPr>
      <w:r>
        <w:rPr>
          <w:rFonts w:hint="eastAsia" w:ascii="黑体" w:hAnsi="黑体" w:eastAsia="黑体" w:cs="黑体"/>
          <w:sz w:val="32"/>
          <w:szCs w:val="32"/>
          <w:u w:val="none"/>
          <w:lang w:eastAsia="zh-CN"/>
        </w:rPr>
        <w:t>三、</w:t>
      </w:r>
      <w:r>
        <w:rPr>
          <w:rFonts w:hint="eastAsia" w:ascii="黑体" w:hAnsi="黑体" w:eastAsia="黑体" w:cs="黑体"/>
          <w:color w:val="000000"/>
          <w:kern w:val="0"/>
          <w:sz w:val="32"/>
          <w:szCs w:val="32"/>
          <w:u w:val="none"/>
          <w:lang w:val="en-US" w:eastAsia="zh-CN" w:bidi="ar"/>
        </w:rPr>
        <w:t xml:space="preserve">附则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（一）本政策按照有关财政管理规定执行。</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（二）支持对象如通过弄虚作假等不正当手段骗取扶持资金，一经查实，将立即取消一切扶持资格并追缴资金。失信行为将根据有关规定纳入公共信用信息数据平台。</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（三）本支持政策自2024年1月1日起试行，有效期至2025年12月31日。原</w:t>
      </w:r>
      <w:r>
        <w:rPr>
          <w:rFonts w:hint="eastAsia" w:ascii="仿宋_GB2312" w:eastAsia="仿宋_GB2312"/>
          <w:sz w:val="32"/>
          <w:szCs w:val="32"/>
        </w:rPr>
        <w:t>《</w:t>
      </w:r>
      <w:r>
        <w:rPr>
          <w:rFonts w:hint="eastAsia" w:ascii="仿宋_GB2312" w:eastAsia="仿宋_GB2312"/>
          <w:sz w:val="32"/>
          <w:szCs w:val="32"/>
          <w:lang w:eastAsia="zh-CN"/>
        </w:rPr>
        <w:t>崇明区</w:t>
      </w:r>
      <w:r>
        <w:rPr>
          <w:rFonts w:hint="eastAsia" w:ascii="仿宋_GB2312" w:eastAsia="仿宋_GB2312"/>
          <w:sz w:val="32"/>
          <w:szCs w:val="32"/>
        </w:rPr>
        <w:t>关于更大力度支持民营实体企业提质增效的实施办法》（</w:t>
      </w:r>
      <w:r>
        <w:rPr>
          <w:rFonts w:hint="eastAsia" w:ascii="仿宋_GB2312" w:eastAsia="仿宋_GB2312"/>
          <w:sz w:val="32"/>
          <w:szCs w:val="32"/>
          <w:lang w:val="en-US" w:eastAsia="zh-CN"/>
        </w:rPr>
        <w:t>沪崇经规〔2023〕1 号）《崇明区促进先进制造业高质量发展若干政策意见》（沪崇经规〔2021〕7号）</w:t>
      </w:r>
      <w:r>
        <w:rPr>
          <w:rFonts w:hint="eastAsia" w:ascii="仿宋_GB2312" w:hAnsi="仿宋_GB2312" w:eastAsia="仿宋_GB2312" w:cs="仿宋_GB2312"/>
          <w:color w:val="000000"/>
          <w:kern w:val="0"/>
          <w:sz w:val="32"/>
          <w:szCs w:val="32"/>
          <w:lang w:val="en-US" w:eastAsia="zh-CN" w:bidi="ar"/>
        </w:rPr>
        <w:t>同时废止。</w:t>
      </w:r>
    </w:p>
    <w:p>
      <w:pPr>
        <w:pStyle w:val="3"/>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（四）本支持政策条款如与本区其他支持政策条款重复，按照“就高不重复”原则执行。对违反全国统一大市场建设和国家规范招商引资相关要求的企业不予扶持。</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（五）本支持政策由区经委负责解释。在实施过程中，如遇国家、本市颁布的政策发生调整，按照上级最新政策为准。</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p>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pPr>
    </w:p>
    <w:p>
      <w:pPr>
        <w:pStyle w:val="3"/>
        <w:rPr>
          <w:rFonts w:hint="eastAsia" w:ascii="方正小标宋_GBK" w:hAnsi="方正小标宋_GBK" w:eastAsia="方正小标宋_GBK" w:cs="方正小标宋_GBK"/>
          <w:color w:val="auto"/>
          <w:sz w:val="32"/>
          <w:szCs w:val="32"/>
          <w:lang w:val="en-US" w:eastAsia="zh-CN"/>
        </w:rPr>
      </w:pPr>
    </w:p>
    <w:p>
      <w:pPr>
        <w:rPr>
          <w:rFonts w:hint="eastAsia" w:ascii="方正小标宋_GBK" w:hAnsi="方正小标宋_GBK" w:eastAsia="方正小标宋_GBK" w:cs="方正小标宋_GBK"/>
          <w:color w:val="auto"/>
          <w:sz w:val="32"/>
          <w:szCs w:val="32"/>
          <w:lang w:val="en-US" w:eastAsia="zh-CN"/>
        </w:rPr>
      </w:pPr>
    </w:p>
    <w:p>
      <w:pPr>
        <w:pStyle w:val="3"/>
        <w:rPr>
          <w:rFonts w:hint="eastAsia" w:ascii="方正小标宋_GBK" w:hAnsi="方正小标宋_GBK" w:eastAsia="方正小标宋_GBK" w:cs="方正小标宋_GBK"/>
          <w:color w:val="auto"/>
          <w:sz w:val="32"/>
          <w:szCs w:val="32"/>
          <w:lang w:val="en-US" w:eastAsia="zh-CN"/>
        </w:rPr>
      </w:pPr>
    </w:p>
    <w:p>
      <w:pPr>
        <w:rPr>
          <w:rFonts w:hint="eastAsia" w:ascii="方正小标宋_GBK" w:hAnsi="方正小标宋_GBK" w:eastAsia="方正小标宋_GBK" w:cs="方正小标宋_GBK"/>
          <w:color w:val="auto"/>
          <w:sz w:val="32"/>
          <w:szCs w:val="32"/>
          <w:lang w:val="en-US" w:eastAsia="zh-CN"/>
        </w:rPr>
      </w:pPr>
    </w:p>
    <w:p>
      <w:pPr>
        <w:pStyle w:val="3"/>
        <w:rPr>
          <w:rFonts w:hint="eastAsia" w:ascii="方正小标宋_GBK" w:hAnsi="方正小标宋_GBK" w:eastAsia="方正小标宋_GBK" w:cs="方正小标宋_GBK"/>
          <w:color w:val="auto"/>
          <w:sz w:val="32"/>
          <w:szCs w:val="32"/>
          <w:lang w:val="en-US" w:eastAsia="zh-CN"/>
        </w:rPr>
      </w:pPr>
    </w:p>
    <w:p>
      <w:pPr>
        <w:pBdr>
          <w:top w:val="single" w:color="auto" w:sz="4" w:space="1"/>
          <w:bottom w:val="single" w:color="auto" w:sz="4" w:space="1"/>
        </w:pBdr>
        <w:spacing w:line="400" w:lineRule="exact"/>
        <w:ind w:firstLine="140" w:firstLineChars="50"/>
        <w:rPr>
          <w:rFonts w:hint="eastAsia"/>
          <w:lang w:val="en-US" w:eastAsia="zh-CN"/>
        </w:rPr>
      </w:pPr>
      <w:r>
        <w:rPr>
          <w:rFonts w:hint="eastAsia" w:eastAsia="仿宋_GB2312"/>
          <w:sz w:val="28"/>
          <w:szCs w:val="28"/>
        </w:rPr>
        <w:t xml:space="preserve">上海市崇明区经济委员会办公室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20</w:t>
      </w:r>
      <w:r>
        <w:rPr>
          <w:rFonts w:hint="eastAsia" w:eastAsia="仿宋_GB2312"/>
          <w:sz w:val="28"/>
          <w:szCs w:val="28"/>
          <w:lang w:val="en-US" w:eastAsia="zh-CN"/>
        </w:rPr>
        <w:t>24</w:t>
      </w:r>
      <w:r>
        <w:rPr>
          <w:rFonts w:hint="eastAsia" w:eastAsia="仿宋_GB2312"/>
          <w:sz w:val="28"/>
          <w:szCs w:val="28"/>
        </w:rPr>
        <w:t>年</w:t>
      </w:r>
      <w:r>
        <w:rPr>
          <w:rFonts w:hint="eastAsia" w:eastAsia="仿宋_GB2312"/>
          <w:sz w:val="28"/>
          <w:szCs w:val="28"/>
          <w:lang w:val="en-US" w:eastAsia="zh-CN"/>
        </w:rPr>
        <w:t>10</w:t>
      </w:r>
      <w:r>
        <w:rPr>
          <w:rFonts w:hint="eastAsia" w:eastAsia="仿宋_GB2312"/>
          <w:sz w:val="28"/>
          <w:szCs w:val="28"/>
        </w:rPr>
        <w:t>月</w:t>
      </w:r>
      <w:r>
        <w:rPr>
          <w:rFonts w:hint="eastAsia" w:eastAsia="仿宋_GB2312"/>
          <w:sz w:val="28"/>
          <w:szCs w:val="28"/>
          <w:lang w:val="en-US" w:eastAsia="zh-CN"/>
        </w:rPr>
        <w:t>28</w:t>
      </w:r>
      <w:r>
        <w:rPr>
          <w:rFonts w:hint="eastAsia" w:eastAsia="仿宋_GB2312"/>
          <w:sz w:val="28"/>
          <w:szCs w:val="28"/>
        </w:rPr>
        <w:t>日印发</w:t>
      </w:r>
    </w:p>
    <w:sectPr>
      <w:footerReference r:id="rId3" w:type="default"/>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GF4TI/QAQAAogMA&#10;AA4AAAAAAAAAAQAgAAAANAEAAGRycy9lMm9Eb2MueG1sUEsFBgAAAAAGAAYAWQEAAHY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25FB4"/>
    <w:rsid w:val="17AE1688"/>
    <w:rsid w:val="2FE3B189"/>
    <w:rsid w:val="33FF8D79"/>
    <w:rsid w:val="37B71560"/>
    <w:rsid w:val="3FD77B67"/>
    <w:rsid w:val="4F7B61CB"/>
    <w:rsid w:val="5A425FB4"/>
    <w:rsid w:val="5F769B64"/>
    <w:rsid w:val="63F9EE1B"/>
    <w:rsid w:val="695ADE13"/>
    <w:rsid w:val="7B7E680D"/>
    <w:rsid w:val="7DCECE61"/>
    <w:rsid w:val="7EBB3ACC"/>
    <w:rsid w:val="86FB3331"/>
    <w:rsid w:val="AFFE5AC8"/>
    <w:rsid w:val="BDB72F60"/>
    <w:rsid w:val="BFBCD013"/>
    <w:rsid w:val="BFFF9981"/>
    <w:rsid w:val="D5FE49DD"/>
    <w:rsid w:val="DBFF7FAC"/>
    <w:rsid w:val="DFF9AA04"/>
    <w:rsid w:val="DFF9FD9A"/>
    <w:rsid w:val="EFCEABBD"/>
    <w:rsid w:val="F279A8BE"/>
    <w:rsid w:val="FB5F453E"/>
    <w:rsid w:val="FBFF35FA"/>
    <w:rsid w:val="FDEFE719"/>
    <w:rsid w:val="FFDC4B6F"/>
    <w:rsid w:val="FFF31F0C"/>
    <w:rsid w:val="FFFF02E4"/>
    <w:rsid w:val="FFFF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2978</Words>
  <Characters>3210</Characters>
  <Lines>0</Lines>
  <Paragraphs>0</Paragraphs>
  <TotalTime>0</TotalTime>
  <ScaleCrop>false</ScaleCrop>
  <LinksUpToDate>false</LinksUpToDate>
  <CharactersWithSpaces>3308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2024-10-18T22:59:00Z</dcterms:created>
  <dc:creator>Administrator</dc:creator>
  <cp:lastModifiedBy>user</cp:lastModifiedBy>
  <cp:lastPrinted>2024-10-24T14:32:00Z</cp:lastPrinted>
  <dcterms:modified xsi:type="dcterms:W3CDTF">2024-10-28T15:48:11Z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A7D3CB5BD64695590C241F67934D97CC_43</vt:lpwstr>
  </property>
</Properties>
</file>