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</w:t>
      </w:r>
      <w:r>
        <w:rPr>
          <w:rFonts w:hint="eastAsia" w:ascii="宋体" w:hAnsi="宋体" w:eastAsia="宋体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/>
        </w:rPr>
        <w:t>-2：</w:t>
      </w:r>
    </w:p>
    <w:p>
      <w:pPr>
        <w:spacing w:line="360" w:lineRule="exact"/>
        <w:ind w:firstLine="720"/>
        <w:jc w:val="center"/>
        <w:rPr>
          <w:rFonts w:ascii="宋体" w:hAnsi="宋体" w:eastAsia="宋体"/>
          <w:sz w:val="36"/>
          <w:szCs w:val="36"/>
        </w:rPr>
      </w:pPr>
    </w:p>
    <w:p>
      <w:pPr>
        <w:spacing w:line="360" w:lineRule="exact"/>
        <w:ind w:firstLine="0" w:firstLineChars="0"/>
        <w:jc w:val="center"/>
        <w:rPr>
          <w:rFonts w:hint="eastAsia" w:ascii="黑体" w:hAnsi="宋体" w:eastAsia="黑体"/>
          <w:sz w:val="36"/>
          <w:lang w:eastAsia="zh-CN"/>
        </w:rPr>
      </w:pPr>
      <w:r>
        <w:rPr>
          <w:rFonts w:hint="eastAsia" w:ascii="黑体" w:hAnsi="宋体" w:eastAsia="黑体"/>
          <w:sz w:val="36"/>
          <w:lang w:val="en-US" w:eastAsia="zh-CN"/>
        </w:rPr>
        <w:t>2021年度</w:t>
      </w:r>
      <w:r>
        <w:rPr>
          <w:rFonts w:hint="eastAsia" w:ascii="黑体" w:hAnsi="宋体" w:eastAsia="黑体"/>
          <w:sz w:val="36"/>
        </w:rPr>
        <w:t>财务情况说明书</w:t>
      </w:r>
      <w:r>
        <w:rPr>
          <w:rFonts w:hint="eastAsia" w:ascii="黑体" w:hAnsi="宋体" w:eastAsia="黑体"/>
          <w:sz w:val="36"/>
          <w:lang w:eastAsia="zh-CN"/>
        </w:rPr>
        <w:t>（国有资产管理情况报告）</w:t>
      </w:r>
    </w:p>
    <w:p>
      <w:pPr>
        <w:spacing w:line="360" w:lineRule="exact"/>
        <w:ind w:firstLine="0" w:firstLineChars="0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</w:rPr>
        <w:t>内容提要</w:t>
      </w:r>
    </w:p>
    <w:p>
      <w:pPr>
        <w:spacing w:line="36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（中央部门和地方使用格式）</w:t>
      </w:r>
    </w:p>
    <w:p>
      <w:pPr>
        <w:spacing w:line="360" w:lineRule="exact"/>
        <w:ind w:firstLine="480"/>
        <w:jc w:val="center"/>
        <w:rPr>
          <w:rFonts w:ascii="楷体_GB2312" w:hAnsi="楷体_GB2312" w:eastAsia="楷体_GB2312"/>
          <w:sz w:val="24"/>
        </w:rPr>
      </w:pPr>
    </w:p>
    <w:p>
      <w:pPr>
        <w:spacing w:line="500" w:lineRule="exact"/>
        <w:ind w:firstLine="480"/>
        <w:jc w:val="left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财务情况说明书是年度财务决算报告的重要组成部分，各中央部门、各地方应依据《企业财务会计报告条例》（国务院令第287号）等有关规定，以财务指标和相关统计指标为主要依据，对本年度所属企业的资产质量、财务状况、经营成果等情况进行分析说明，客观反映本部门、本地区企业运营特点及发展趋势。财务情况说明书主要包括以下内容：</w:t>
      </w:r>
    </w:p>
    <w:p>
      <w:pPr>
        <w:tabs>
          <w:tab w:val="left" w:pos="8595"/>
        </w:tabs>
        <w:spacing w:line="500" w:lineRule="exact"/>
        <w:ind w:firstLine="48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一、基本情况</w:t>
      </w:r>
    </w:p>
    <w:p>
      <w:pPr>
        <w:tabs>
          <w:tab w:val="left" w:pos="8595"/>
        </w:tabs>
        <w:spacing w:line="500" w:lineRule="exact"/>
        <w:ind w:firstLine="480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（一）本部门（地区）所属企业户数、结构及增减变化情况。</w:t>
      </w:r>
    </w:p>
    <w:p>
      <w:pPr>
        <w:keepNext/>
        <w:tabs>
          <w:tab w:val="left" w:pos="8595"/>
        </w:tabs>
        <w:spacing w:line="500" w:lineRule="exact"/>
        <w:ind w:firstLine="480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/>
          <w:sz w:val="24"/>
        </w:rPr>
        <w:t>（二）近三年主要财务指标及重要变化说明</w:t>
      </w:r>
      <w:r>
        <w:rPr>
          <w:rFonts w:hint="eastAsia" w:ascii="仿宋_GB2312"/>
          <w:sz w:val="24"/>
          <w:lang w:eastAsia="zh-CN"/>
        </w:rPr>
        <w:t>。</w:t>
      </w:r>
    </w:p>
    <w:p>
      <w:pPr>
        <w:tabs>
          <w:tab w:val="left" w:pos="8595"/>
        </w:tabs>
        <w:spacing w:line="500" w:lineRule="exact"/>
        <w:ind w:firstLine="480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（三）企业职工人数及人工成本、薪酬水平情况。</w:t>
      </w:r>
    </w:p>
    <w:p>
      <w:pPr>
        <w:tabs>
          <w:tab w:val="left" w:pos="8595"/>
        </w:tabs>
        <w:spacing w:line="500" w:lineRule="exact"/>
        <w:ind w:firstLine="480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（四）企业会计准则执行和审计情况。</w:t>
      </w:r>
    </w:p>
    <w:p>
      <w:pPr>
        <w:tabs>
          <w:tab w:val="left" w:pos="8595"/>
        </w:tabs>
        <w:spacing w:line="500" w:lineRule="exact"/>
        <w:ind w:firstLine="439" w:firstLineChars="183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tabs>
          <w:tab w:val="left" w:pos="8595"/>
        </w:tabs>
        <w:spacing w:line="500" w:lineRule="exact"/>
        <w:ind w:firstLine="480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tabs>
          <w:tab w:val="left" w:pos="8595"/>
        </w:tabs>
        <w:spacing w:line="500" w:lineRule="exact"/>
        <w:ind w:firstLine="48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/>
          <w:sz w:val="24"/>
        </w:rPr>
        <w:t>（一）资产负债情况分析</w:t>
      </w:r>
      <w:r>
        <w:rPr>
          <w:rFonts w:hint="eastAsia" w:ascii="仿宋_GB2312" w:hAnsi="仿宋_GB2312"/>
          <w:sz w:val="24"/>
          <w:lang w:eastAsia="zh-CN"/>
        </w:rPr>
        <w:t>。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1、重要资产变化及原因分析，包括应收账款、存货、无形资产、固定资产等。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2、资产运营质量和资产管理情况分析，包括资产周转情况、无效资产清理、存量资产盘活</w:t>
      </w:r>
      <w:r>
        <w:rPr>
          <w:rFonts w:hint="eastAsia" w:ascii="宋体"/>
          <w:sz w:val="24"/>
        </w:rPr>
        <w:t>、国有资产统一集中管理</w:t>
      </w:r>
      <w:r>
        <w:rPr>
          <w:rFonts w:hint="eastAsia" w:ascii="仿宋_GB2312" w:hAnsi="宋体"/>
          <w:sz w:val="24"/>
        </w:rPr>
        <w:t>等。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宋体"/>
          <w:sz w:val="24"/>
        </w:rPr>
        <w:t>3、债务分析，包括负债结构、融资成本、债务风险等。</w:t>
      </w:r>
    </w:p>
    <w:p>
      <w:pPr>
        <w:tabs>
          <w:tab w:val="left" w:pos="8595"/>
        </w:tabs>
        <w:spacing w:line="500" w:lineRule="exact"/>
        <w:ind w:firstLine="48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/>
          <w:sz w:val="24"/>
        </w:rPr>
        <w:t>（二）所有者权益情况分析</w:t>
      </w:r>
      <w:r>
        <w:rPr>
          <w:rFonts w:hint="eastAsia" w:ascii="仿宋_GB2312" w:hAnsi="仿宋_GB2312"/>
          <w:sz w:val="24"/>
          <w:lang w:eastAsia="zh-CN"/>
        </w:rPr>
        <w:t>。</w:t>
      </w:r>
    </w:p>
    <w:p>
      <w:pPr>
        <w:tabs>
          <w:tab w:val="left" w:pos="8595"/>
        </w:tabs>
        <w:spacing w:line="500" w:lineRule="exact"/>
        <w:ind w:firstLine="480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hAnsi="仿宋_GB2312"/>
          <w:sz w:val="24"/>
        </w:rPr>
        <w:t>（三）国有资产总量、</w:t>
      </w:r>
      <w:r>
        <w:rPr>
          <w:rFonts w:hint="eastAsia" w:ascii="仿宋_GB2312"/>
          <w:sz w:val="24"/>
        </w:rPr>
        <w:t>国有资本权益和国有资本保值增值情况分析</w:t>
      </w:r>
      <w:r>
        <w:rPr>
          <w:rFonts w:hint="eastAsia" w:ascii="仿宋_GB2312"/>
          <w:sz w:val="24"/>
          <w:lang w:eastAsia="zh-CN"/>
        </w:rPr>
        <w:t>。</w:t>
      </w:r>
    </w:p>
    <w:p>
      <w:pPr>
        <w:tabs>
          <w:tab w:val="left" w:pos="8595"/>
        </w:tabs>
        <w:spacing w:line="500" w:lineRule="exact"/>
        <w:ind w:firstLine="480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/>
          <w:sz w:val="24"/>
        </w:rPr>
        <w:t>（四）收入利润分析</w:t>
      </w:r>
      <w:r>
        <w:rPr>
          <w:rFonts w:hint="eastAsia" w:ascii="仿宋_GB2312"/>
          <w:sz w:val="24"/>
          <w:lang w:eastAsia="zh-CN"/>
        </w:rPr>
        <w:t>。</w:t>
      </w:r>
    </w:p>
    <w:p>
      <w:pPr>
        <w:pStyle w:val="7"/>
        <w:spacing w:line="500" w:lineRule="exact"/>
        <w:ind w:firstLine="530" w:firstLineChars="221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1、盈利能力及经营增长情况分析。</w:t>
      </w:r>
    </w:p>
    <w:p>
      <w:pPr>
        <w:pStyle w:val="7"/>
        <w:spacing w:line="500" w:lineRule="exact"/>
        <w:ind w:firstLine="530" w:firstLineChars="221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、成本费用管理情况分析。</w:t>
      </w:r>
    </w:p>
    <w:p>
      <w:pPr>
        <w:pStyle w:val="7"/>
        <w:spacing w:line="500" w:lineRule="exact"/>
        <w:ind w:firstLine="530" w:firstLineChars="221"/>
        <w:rPr>
          <w:rFonts w:ascii="仿宋_GB2312" w:hAnsi="宋体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、</w:t>
      </w:r>
      <w:r>
        <w:rPr>
          <w:rFonts w:hint="eastAsia" w:ascii="仿宋_GB2312" w:hAnsi="宋体" w:eastAsia="仿宋_GB2312"/>
          <w:sz w:val="24"/>
        </w:rPr>
        <w:t>亏损企业户数、亏损面、亏损额及亏损原因分析。</w:t>
      </w:r>
    </w:p>
    <w:p>
      <w:pPr>
        <w:pStyle w:val="7"/>
        <w:spacing w:line="500" w:lineRule="exact"/>
        <w:ind w:firstLine="530" w:firstLineChars="221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sz w:val="24"/>
        </w:rPr>
        <w:t>（五）上交税费情况分析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>
      <w:pPr>
        <w:tabs>
          <w:tab w:val="left" w:pos="8595"/>
        </w:tabs>
        <w:spacing w:line="500" w:lineRule="exact"/>
        <w:ind w:firstLine="48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三、投资情况分析</w:t>
      </w:r>
    </w:p>
    <w:p>
      <w:pPr>
        <w:spacing w:line="500" w:lineRule="exact"/>
        <w:ind w:firstLine="480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/>
          <w:sz w:val="24"/>
        </w:rPr>
        <w:t>（一）重要固定资产投资情况分析</w:t>
      </w:r>
      <w:r>
        <w:rPr>
          <w:rFonts w:hint="eastAsia" w:ascii="仿宋_GB2312" w:hAnsi="宋体"/>
          <w:sz w:val="24"/>
          <w:lang w:eastAsia="zh-CN"/>
        </w:rPr>
        <w:t>。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分析房地产开发、基建工程等重要固定资产投资的规模、资金来源及使用、风险管理等情况。</w:t>
      </w:r>
    </w:p>
    <w:p>
      <w:pPr>
        <w:spacing w:line="500" w:lineRule="exact"/>
        <w:ind w:firstLine="480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/>
          <w:sz w:val="24"/>
        </w:rPr>
        <w:t>（二）股权投资情况分析</w:t>
      </w:r>
      <w:r>
        <w:rPr>
          <w:rFonts w:hint="eastAsia" w:ascii="仿宋_GB2312" w:hAnsi="宋体"/>
          <w:sz w:val="24"/>
          <w:lang w:eastAsia="zh-CN"/>
        </w:rPr>
        <w:t>。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本部门（地区）所属重要企业的股权投资方向、规模和风险管理情况。</w:t>
      </w:r>
    </w:p>
    <w:p>
      <w:pPr>
        <w:spacing w:line="500" w:lineRule="exact"/>
        <w:ind w:firstLine="480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/>
          <w:sz w:val="24"/>
        </w:rPr>
        <w:t>（三）基金投资情况分析</w:t>
      </w:r>
      <w:r>
        <w:rPr>
          <w:rFonts w:hint="eastAsia" w:ascii="仿宋_GB2312" w:hAnsi="宋体"/>
          <w:sz w:val="24"/>
          <w:lang w:eastAsia="zh-CN"/>
        </w:rPr>
        <w:t>。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本部门（地区）所属重要国资基金的投资方向、规模和风险管理情况。</w:t>
      </w:r>
    </w:p>
    <w:p>
      <w:pPr>
        <w:spacing w:line="500" w:lineRule="exact"/>
        <w:ind w:firstLine="480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/>
          <w:sz w:val="24"/>
        </w:rPr>
        <w:t>（四）境外投资情况分析</w:t>
      </w:r>
      <w:r>
        <w:rPr>
          <w:rFonts w:hint="eastAsia" w:ascii="仿宋_GB2312" w:hAnsi="宋体"/>
          <w:sz w:val="24"/>
          <w:lang w:eastAsia="zh-CN"/>
        </w:rPr>
        <w:t>。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  <w:lang w:val="en-US" w:eastAsia="zh-CN"/>
        </w:rPr>
        <w:t xml:space="preserve"> </w:t>
      </w: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本部门（地区）所属重要企业</w:t>
      </w:r>
      <w:r>
        <w:rPr>
          <w:rFonts w:hint="eastAsia" w:ascii="仿宋_GB2312" w:hAnsi="宋体"/>
          <w:sz w:val="24"/>
        </w:rPr>
        <w:t>的境外投资情况，包括投资规模、投资领域、投资收益及变化，境外投资风险和风险防范机制等。</w:t>
      </w:r>
    </w:p>
    <w:p>
      <w:pPr>
        <w:spacing w:line="500" w:lineRule="exact"/>
        <w:ind w:left="480" w:firstLine="0" w:firstLineChars="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四、重大事项说明</w:t>
      </w:r>
    </w:p>
    <w:p>
      <w:pPr>
        <w:spacing w:line="500" w:lineRule="exact"/>
        <w:ind w:firstLine="480"/>
        <w:rPr>
          <w:rFonts w:ascii="黑体" w:hAnsi="宋体" w:eastAsia="黑体"/>
          <w:sz w:val="24"/>
        </w:rPr>
      </w:pPr>
      <w:r>
        <w:rPr>
          <w:rFonts w:hint="eastAsia" w:ascii="仿宋_GB2312" w:hAnsi="仿宋_GB2312"/>
          <w:sz w:val="24"/>
        </w:rPr>
        <w:t>对本部门（地区）所属企业重大资产重组、</w:t>
      </w:r>
      <w:r>
        <w:rPr>
          <w:rFonts w:hint="eastAsia" w:ascii="仿宋_GB2312" w:hAnsi="宋体"/>
          <w:sz w:val="24"/>
        </w:rPr>
        <w:t>债务重组、兼并收购、改制上市、重大投融资、重大资产处置、股权（产权）转让及</w:t>
      </w:r>
      <w:r>
        <w:rPr>
          <w:rFonts w:hint="eastAsia"/>
          <w:sz w:val="24"/>
        </w:rPr>
        <w:t>资产损失情况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spacing w:line="500" w:lineRule="exact"/>
        <w:ind w:left="480" w:firstLine="0" w:firstLineChars="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五、财务管理工作</w:t>
      </w:r>
    </w:p>
    <w:p>
      <w:pPr>
        <w:spacing w:line="500" w:lineRule="exact"/>
        <w:ind w:firstLine="480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对本部门（地区）所属重要企业集团财务管控模式、全面预算管理执行情况，所属企业财务管理中存在的主要问题和改进计划等</w:t>
      </w:r>
      <w:r>
        <w:rPr>
          <w:rFonts w:hint="eastAsia" w:ascii="仿宋_GB2312" w:hAnsi="宋体"/>
          <w:sz w:val="24"/>
        </w:rPr>
        <w:t>进行说明和分析</w:t>
      </w:r>
      <w:r>
        <w:rPr>
          <w:rFonts w:hint="eastAsia" w:ascii="仿宋_GB2312" w:hAnsi="仿宋_GB2312"/>
          <w:sz w:val="24"/>
        </w:rPr>
        <w:t>。</w:t>
      </w:r>
    </w:p>
    <w:p>
      <w:pPr>
        <w:spacing w:line="500" w:lineRule="exact"/>
        <w:ind w:firstLine="48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六、有关问题及整改情况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有关方面的巡视、检查、审计等监管工作中发现的各类问题。</w:t>
      </w:r>
    </w:p>
    <w:p>
      <w:pPr>
        <w:tabs>
          <w:tab w:val="left" w:pos="8595"/>
        </w:tabs>
        <w:spacing w:line="500" w:lineRule="exact"/>
        <w:ind w:firstLine="439" w:firstLineChars="183"/>
        <w:rPr>
          <w:rFonts w:hint="eastAsia" w:ascii="黑体" w:eastAsia="黑体"/>
          <w:sz w:val="24"/>
        </w:rPr>
      </w:pPr>
      <w:r>
        <w:rPr>
          <w:rFonts w:hint="eastAsia" w:ascii="仿宋_GB2312" w:hAnsi="宋体"/>
          <w:sz w:val="24"/>
        </w:rPr>
        <w:t>（二）对上述发现问题的整改落实情况及拟采取的主要措施。</w:t>
      </w:r>
    </w:p>
    <w:p>
      <w:pPr>
        <w:tabs>
          <w:tab w:val="left" w:pos="8595"/>
        </w:tabs>
        <w:spacing w:line="500" w:lineRule="exact"/>
        <w:ind w:firstLine="439" w:firstLineChars="183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</w:rPr>
        <w:t>七</w:t>
      </w:r>
      <w:r>
        <w:rPr>
          <w:rFonts w:hint="eastAsia" w:ascii="黑体" w:hAnsi="宋体" w:eastAsia="黑体"/>
          <w:sz w:val="24"/>
        </w:rPr>
        <w:t>、重要工作、困难挑战及改革建议</w:t>
      </w:r>
    </w:p>
    <w:p>
      <w:pPr>
        <w:tabs>
          <w:tab w:val="left" w:pos="8595"/>
        </w:tabs>
        <w:spacing w:line="500" w:lineRule="exact"/>
        <w:ind w:firstLine="480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（一）说明本部门（地区）所属企业</w:t>
      </w:r>
      <w:r>
        <w:rPr>
          <w:rFonts w:hint="eastAsia" w:ascii="仿宋_GB2312" w:hAnsi="宋体"/>
          <w:sz w:val="24"/>
        </w:rPr>
        <w:t>完成的重要工作，例如服务国家重要战略、参与国企改革试点、做出突出社会贡献等。</w:t>
      </w:r>
    </w:p>
    <w:p>
      <w:pPr>
        <w:tabs>
          <w:tab w:val="left" w:pos="8595"/>
        </w:tabs>
        <w:spacing w:line="500" w:lineRule="exact"/>
        <w:ind w:firstLine="480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（二）说明本部门（地区）所属企业日常生产经营中普遍面临的主要困难与挑战。</w:t>
      </w:r>
    </w:p>
    <w:p>
      <w:pPr>
        <w:tabs>
          <w:tab w:val="left" w:pos="8595"/>
        </w:tabs>
        <w:spacing w:line="500" w:lineRule="exact"/>
        <w:ind w:firstLine="480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（三）对促进国有企业改革和发展的有关工作建议。</w:t>
      </w:r>
    </w:p>
    <w:p>
      <w:pPr>
        <w:spacing w:line="500" w:lineRule="exact"/>
        <w:ind w:firstLine="480"/>
        <w:rPr>
          <w:rFonts w:ascii="黑体" w:hAnsi="黑体" w:eastAsia="黑体"/>
          <w:sz w:val="24"/>
        </w:rPr>
      </w:pPr>
      <w:r>
        <w:rPr>
          <w:rFonts w:hint="eastAsia" w:ascii="黑体" w:eastAsia="黑体"/>
          <w:sz w:val="24"/>
        </w:rPr>
        <w:t>八、财务会计决算</w:t>
      </w:r>
      <w:r>
        <w:rPr>
          <w:rFonts w:hint="eastAsia" w:ascii="黑体" w:hAnsi="黑体" w:eastAsia="黑体"/>
          <w:sz w:val="24"/>
        </w:rPr>
        <w:t>工作建议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92" w:afterLines="50" w:line="500" w:lineRule="exact"/>
        <w:ind w:firstLine="480"/>
        <w:textAlignment w:val="auto"/>
        <w:rPr>
          <w:rFonts w:hint="eastAsia" w:ascii="仿宋_GB2312" w:hAnsi="仿宋_GB2312" w:eastAsia="仿宋_GB2312"/>
          <w:sz w:val="24"/>
          <w:shd w:val="clear" w:color="auto" w:fill="auto"/>
          <w:lang w:eastAsia="zh-CN"/>
        </w:rPr>
      </w:pPr>
      <w:r>
        <w:rPr>
          <w:rFonts w:hint="eastAsia" w:ascii="仿宋_GB2312" w:hAnsi="仿宋_GB2312"/>
          <w:sz w:val="24"/>
          <w:lang w:eastAsia="zh-CN"/>
        </w:rPr>
        <w:t>对国有企业</w:t>
      </w:r>
      <w:r>
        <w:rPr>
          <w:rFonts w:hint="eastAsia" w:ascii="仿宋_GB2312" w:hAnsi="仿宋_GB2312"/>
          <w:sz w:val="24"/>
        </w:rPr>
        <w:t>财务会计决算工作的有关建议</w:t>
      </w:r>
      <w:r>
        <w:rPr>
          <w:rFonts w:hint="eastAsia" w:ascii="仿宋_GB2312" w:hAnsi="仿宋_GB2312"/>
          <w:sz w:val="24"/>
          <w:lang w:eastAsia="zh-CN"/>
        </w:rPr>
        <w:t>，</w:t>
      </w:r>
      <w:r>
        <w:rPr>
          <w:rFonts w:hint="eastAsia" w:ascii="仿宋_GB2312" w:hAnsi="仿宋_GB2312"/>
          <w:sz w:val="24"/>
          <w:shd w:val="clear" w:color="auto" w:fill="auto"/>
          <w:lang w:eastAsia="zh-CN"/>
        </w:rPr>
        <w:t>包括报表内容、软件系统、报送审核流程、培训指导及其他方面。</w:t>
      </w:r>
    </w:p>
    <w:p>
      <w:pPr>
        <w:pStyle w:val="4"/>
        <w:rPr>
          <w:rFonts w:hint="eastAsia" w:ascii="楷体_GB2312" w:hAnsi="楷体_GB2312" w:eastAsia="楷体_GB2312" w:cs="楷体_GB2312"/>
        </w:rPr>
      </w:pPr>
    </w:p>
    <w:p>
      <w:pPr>
        <w:spacing w:line="500" w:lineRule="exact"/>
        <w:ind w:firstLine="0" w:firstLineChars="0"/>
        <w:rPr>
          <w:rFonts w:ascii="仿宋_GB2312" w:hAnsi="仿宋_GB2312"/>
          <w:sz w:val="24"/>
        </w:rPr>
      </w:pPr>
    </w:p>
    <w:p>
      <w:pPr>
        <w:spacing w:line="500" w:lineRule="exact"/>
        <w:ind w:firstLine="480"/>
        <w:rPr>
          <w:rFonts w:ascii="黑体" w:hAnsi="宋体" w:eastAsia="黑体"/>
          <w:sz w:val="24"/>
        </w:rPr>
      </w:pPr>
    </w:p>
    <w:p>
      <w:pPr>
        <w:spacing w:line="360" w:lineRule="exact"/>
        <w:ind w:firstLine="560"/>
        <w:rPr>
          <w:rFonts w:ascii="宋体" w:hAnsi="宋体"/>
        </w:rPr>
      </w:pPr>
    </w:p>
    <w:p>
      <w:pPr>
        <w:ind w:firstLine="560"/>
      </w:pPr>
    </w:p>
    <w:p>
      <w:pPr>
        <w:spacing w:line="360" w:lineRule="exact"/>
        <w:ind w:firstLine="560"/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4</w:t>
    </w:r>
    <w:r>
      <w:fldChar w:fldCharType="end"/>
    </w:r>
  </w:p>
  <w:p>
    <w:pPr>
      <w:pStyle w:val="11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296F"/>
    <w:rsid w:val="00135D3F"/>
    <w:rsid w:val="0014269B"/>
    <w:rsid w:val="00156BD6"/>
    <w:rsid w:val="001665B5"/>
    <w:rsid w:val="0017035E"/>
    <w:rsid w:val="00174535"/>
    <w:rsid w:val="00180732"/>
    <w:rsid w:val="00186200"/>
    <w:rsid w:val="00190D32"/>
    <w:rsid w:val="001A0F91"/>
    <w:rsid w:val="001A19EF"/>
    <w:rsid w:val="001A3E93"/>
    <w:rsid w:val="001A4167"/>
    <w:rsid w:val="001B2C35"/>
    <w:rsid w:val="001B4F9F"/>
    <w:rsid w:val="001C4A8A"/>
    <w:rsid w:val="001D57B5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1A4E"/>
    <w:rsid w:val="00343E23"/>
    <w:rsid w:val="00347334"/>
    <w:rsid w:val="00347B89"/>
    <w:rsid w:val="00355B0D"/>
    <w:rsid w:val="00365BE4"/>
    <w:rsid w:val="00380DC5"/>
    <w:rsid w:val="00383428"/>
    <w:rsid w:val="003B0899"/>
    <w:rsid w:val="003B7C95"/>
    <w:rsid w:val="003C1235"/>
    <w:rsid w:val="003E04BE"/>
    <w:rsid w:val="003E562F"/>
    <w:rsid w:val="003F3269"/>
    <w:rsid w:val="00405AFA"/>
    <w:rsid w:val="00406EE1"/>
    <w:rsid w:val="00420A93"/>
    <w:rsid w:val="00430128"/>
    <w:rsid w:val="004301E7"/>
    <w:rsid w:val="0043185E"/>
    <w:rsid w:val="004336FA"/>
    <w:rsid w:val="0044087B"/>
    <w:rsid w:val="00447AB5"/>
    <w:rsid w:val="00460984"/>
    <w:rsid w:val="00464A1E"/>
    <w:rsid w:val="004A007D"/>
    <w:rsid w:val="004A044F"/>
    <w:rsid w:val="004B39AD"/>
    <w:rsid w:val="004B59E8"/>
    <w:rsid w:val="004C1560"/>
    <w:rsid w:val="004C62BA"/>
    <w:rsid w:val="004C7484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F1A17"/>
    <w:rsid w:val="005F69AC"/>
    <w:rsid w:val="006032A0"/>
    <w:rsid w:val="00603EDF"/>
    <w:rsid w:val="0060711A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E54BB"/>
    <w:rsid w:val="007078DB"/>
    <w:rsid w:val="00717342"/>
    <w:rsid w:val="0072190D"/>
    <w:rsid w:val="0072317E"/>
    <w:rsid w:val="007450D1"/>
    <w:rsid w:val="00746113"/>
    <w:rsid w:val="00753483"/>
    <w:rsid w:val="00761F27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6CEE"/>
    <w:rsid w:val="00956DC5"/>
    <w:rsid w:val="00972299"/>
    <w:rsid w:val="00982014"/>
    <w:rsid w:val="00996879"/>
    <w:rsid w:val="00997FCE"/>
    <w:rsid w:val="009A4C73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8C9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3DE0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25A0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B7176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7BCB"/>
    <w:rsid w:val="00F57CF6"/>
    <w:rsid w:val="00F616CD"/>
    <w:rsid w:val="00F648CD"/>
    <w:rsid w:val="00F65059"/>
    <w:rsid w:val="00F826C0"/>
    <w:rsid w:val="00F869B1"/>
    <w:rsid w:val="00F951F9"/>
    <w:rsid w:val="00FA332E"/>
    <w:rsid w:val="00FA5F40"/>
    <w:rsid w:val="00FA6C80"/>
    <w:rsid w:val="00FB1050"/>
    <w:rsid w:val="00FB4AEB"/>
    <w:rsid w:val="00FC4A42"/>
    <w:rsid w:val="00FC4E7D"/>
    <w:rsid w:val="00FC5590"/>
    <w:rsid w:val="00FE45FC"/>
    <w:rsid w:val="00FE50DA"/>
    <w:rsid w:val="46ED6FCB"/>
    <w:rsid w:val="67FDC18E"/>
    <w:rsid w:val="6F485572"/>
    <w:rsid w:val="72B3F754"/>
    <w:rsid w:val="737BAB44"/>
    <w:rsid w:val="7F3B5D30"/>
    <w:rsid w:val="EEDF3A0A"/>
    <w:rsid w:val="FFDFD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kern w:val="0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Char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Char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Char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Char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Char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Char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Char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Char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character" w:customStyle="1" w:styleId="34">
    <w:name w:val="批注框文本 Char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Char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批注文字 Char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Char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Char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</Words>
  <Characters>1692</Characters>
  <Lines>14</Lines>
  <Paragraphs>3</Paragraphs>
  <TotalTime>32</TotalTime>
  <ScaleCrop>false</ScaleCrop>
  <LinksUpToDate>false</LinksUpToDate>
  <CharactersWithSpaces>1985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2019-09-18T07:12:00Z</dcterms:created>
  <dc:creator>wang shu</dc:creator>
  <cp:lastModifiedBy>lenovo</cp:lastModifiedBy>
  <cp:lastPrinted>2019-09-27T14:57:00Z</cp:lastPrinted>
  <dcterms:modified xsi:type="dcterms:W3CDTF">2022-01-28T14:47:58Z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