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790"/>
        </w:tabs>
        <w:kinsoku/>
        <w:wordWrap/>
        <w:overflowPunct w:val="0"/>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kern w:val="2"/>
          <w:sz w:val="32"/>
          <w:szCs w:val="32"/>
          <w:lang w:val="en-US" w:eastAsia="zh-CN" w:bidi="ar"/>
        </w:rPr>
      </w:pPr>
      <w:bookmarkStart w:id="0" w:name="_GoBack"/>
      <w:bookmarkEnd w:id="0"/>
      <w:r>
        <w:rPr>
          <w:rFonts w:hint="eastAsia" w:ascii="仿宋_GB2312" w:hAnsi="仿宋_GB2312" w:eastAsia="仿宋_GB2312" w:cs="仿宋_GB2312"/>
          <w:color w:val="auto"/>
          <w:kern w:val="2"/>
          <w:sz w:val="32"/>
          <w:szCs w:val="32"/>
          <w:lang w:val="en-US" w:eastAsia="zh-CN" w:bidi="ar"/>
        </w:rPr>
        <w:t>附件</w:t>
      </w:r>
    </w:p>
    <w:p>
      <w:pPr>
        <w:keepNext w:val="0"/>
        <w:keepLines w:val="0"/>
        <w:pageBreakBefore w:val="0"/>
        <w:tabs>
          <w:tab w:val="left" w:pos="790"/>
        </w:tabs>
        <w:kinsoku/>
        <w:wordWrap/>
        <w:overflowPunct w:val="0"/>
        <w:topLinePunct w:val="0"/>
        <w:autoSpaceDE/>
        <w:autoSpaceDN/>
        <w:bidi w:val="0"/>
        <w:adjustRightInd w:val="0"/>
        <w:snapToGrid w:val="0"/>
        <w:spacing w:line="560" w:lineRule="exact"/>
        <w:ind w:firstLine="880" w:firstLineChars="200"/>
        <w:jc w:val="center"/>
        <w:textAlignment w:val="auto"/>
        <w:rPr>
          <w:rFonts w:hint="default" w:ascii="Times New Roman" w:hAnsi="Times New Roman" w:eastAsia="方正小标宋简体" w:cs="Times New Roman"/>
          <w:kern w:val="0"/>
          <w:sz w:val="44"/>
          <w:szCs w:val="44"/>
        </w:rPr>
      </w:pPr>
    </w:p>
    <w:p>
      <w:pPr>
        <w:keepNext w:val="0"/>
        <w:keepLines w:val="0"/>
        <w:pageBreakBefore w:val="0"/>
        <w:tabs>
          <w:tab w:val="left" w:pos="790"/>
        </w:tabs>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202</w:t>
      </w:r>
      <w:r>
        <w:rPr>
          <w:rFonts w:hint="eastAsia" w:ascii="Times New Roman" w:hAnsi="Times New Roman" w:eastAsia="方正小标宋简体" w:cs="Times New Roman"/>
          <w:kern w:val="0"/>
          <w:sz w:val="44"/>
          <w:szCs w:val="44"/>
          <w:lang w:val="en-US" w:eastAsia="zh-CN"/>
        </w:rPr>
        <w:t>4</w:t>
      </w:r>
      <w:r>
        <w:rPr>
          <w:rFonts w:hint="default" w:ascii="Times New Roman" w:hAnsi="Times New Roman" w:eastAsia="方正小标宋简体" w:cs="Times New Roman"/>
          <w:kern w:val="0"/>
          <w:sz w:val="44"/>
          <w:szCs w:val="44"/>
        </w:rPr>
        <w:t>年上海市知识产权局政务公开</w:t>
      </w:r>
    </w:p>
    <w:p>
      <w:pPr>
        <w:keepNext w:val="0"/>
        <w:keepLines w:val="0"/>
        <w:pageBreakBefore w:val="0"/>
        <w:tabs>
          <w:tab w:val="left" w:pos="790"/>
        </w:tabs>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工作要点</w:t>
      </w:r>
    </w:p>
    <w:p>
      <w:pPr>
        <w:pStyle w:val="19"/>
        <w:keepNext w:val="0"/>
        <w:keepLines w:val="0"/>
        <w:pageBreakBefore w:val="0"/>
        <w:widowControl/>
        <w:suppressAutoHyphens/>
        <w:kinsoku/>
        <w:wordWrap/>
        <w:topLinePunct w:val="0"/>
        <w:autoSpaceDE/>
        <w:autoSpaceDN/>
        <w:bidi w:val="0"/>
        <w:spacing w:before="0" w:beforeAutospacing="0" w:after="0" w:afterAutospacing="0" w:line="560" w:lineRule="exact"/>
        <w:jc w:val="center"/>
        <w:textAlignment w:val="auto"/>
        <w:rPr>
          <w:rFonts w:hint="eastAsia" w:ascii="仿宋_GB2312" w:hAnsi="仿宋" w:eastAsia="仿宋_GB2312" w:cs="仿宋"/>
          <w:color w:val="auto"/>
          <w:kern w:val="2"/>
          <w:sz w:val="32"/>
          <w:szCs w:val="32"/>
          <w:lang w:eastAsia="zh-CN"/>
        </w:rPr>
      </w:pP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 w:eastAsia="仿宋_GB2312" w:cs="仿宋"/>
          <w:color w:val="auto"/>
          <w:kern w:val="2"/>
          <w:sz w:val="32"/>
          <w:szCs w:val="32"/>
          <w:lang w:eastAsia="zh-CN"/>
        </w:rPr>
      </w:pPr>
      <w:r>
        <w:rPr>
          <w:rFonts w:hint="eastAsia" w:ascii="仿宋_GB2312" w:hAnsi="仿宋" w:eastAsia="仿宋_GB2312" w:cs="仿宋"/>
          <w:color w:val="auto"/>
          <w:kern w:val="2"/>
          <w:sz w:val="32"/>
          <w:szCs w:val="32"/>
          <w:lang w:eastAsia="zh-CN"/>
        </w:rPr>
        <w:t>为进一步加强和改进</w:t>
      </w:r>
      <w:r>
        <w:rPr>
          <w:rFonts w:ascii="仿宋_GB2312" w:hAnsi="仿宋" w:eastAsia="仿宋_GB2312" w:cs="仿宋"/>
          <w:color w:val="auto"/>
          <w:kern w:val="2"/>
          <w:sz w:val="32"/>
          <w:szCs w:val="32"/>
        </w:rPr>
        <w:t>政务公开工作</w:t>
      </w:r>
      <w:r>
        <w:rPr>
          <w:rFonts w:hint="eastAsia" w:ascii="仿宋_GB2312" w:hAnsi="仿宋" w:eastAsia="仿宋_GB2312" w:cs="仿宋"/>
          <w:color w:val="auto"/>
          <w:kern w:val="2"/>
          <w:sz w:val="32"/>
          <w:szCs w:val="32"/>
          <w:lang w:eastAsia="zh-CN"/>
        </w:rPr>
        <w:t>，推动知识产权强市建设各项工作落地见效，按照《</w:t>
      </w:r>
      <w:r>
        <w:rPr>
          <w:rFonts w:hint="eastAsia" w:ascii="仿宋_GB2312" w:hAnsi="仿宋" w:eastAsia="仿宋_GB2312" w:cs="仿宋"/>
          <w:color w:val="auto"/>
          <w:kern w:val="2"/>
          <w:sz w:val="32"/>
          <w:szCs w:val="32"/>
          <w:lang w:val="en-US" w:eastAsia="zh-CN"/>
        </w:rPr>
        <w:t>2024年上海市政务公开工作要点</w:t>
      </w:r>
      <w:r>
        <w:rPr>
          <w:rFonts w:hint="eastAsia" w:ascii="仿宋_GB2312" w:hAnsi="仿宋" w:eastAsia="仿宋_GB2312" w:cs="仿宋"/>
          <w:color w:val="auto"/>
          <w:kern w:val="2"/>
          <w:sz w:val="32"/>
          <w:szCs w:val="32"/>
          <w:lang w:eastAsia="zh-CN"/>
        </w:rPr>
        <w:t>》相关要求，结合我局实际，制定本工作要点。</w:t>
      </w:r>
    </w:p>
    <w:p>
      <w:pPr>
        <w:pStyle w:val="19"/>
        <w:keepNext w:val="0"/>
        <w:keepLines w:val="0"/>
        <w:pageBreakBefore w:val="0"/>
        <w:widowControl/>
        <w:numPr>
          <w:ilvl w:val="0"/>
          <w:numId w:val="1"/>
        </w:numPr>
        <w:suppressAutoHyphen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rPr>
        <w:t>总体要求</w:t>
      </w:r>
    </w:p>
    <w:p>
      <w:pPr>
        <w:pStyle w:val="19"/>
        <w:keepNext w:val="0"/>
        <w:keepLines w:val="0"/>
        <w:pageBreakBefore w:val="0"/>
        <w:widowControl/>
        <w:numPr>
          <w:ilvl w:val="0"/>
          <w:numId w:val="0"/>
        </w:numPr>
        <w:suppressAutoHyphens/>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以习近平新时代中国特色社会主义思想为指导，深入贯彻 习近平总书记考察上海重要讲话精神，全面贯彻落实党的二十 大精神，认真落实党中央、国务院、市委、市政府关于做好新时代政务公开工作的部署要求，大力推进我局在服务改革发展大局、提升知识产权保护水平、促进知识产权有效运用、强化知识产权服务供给、优化知识产权发展环境等方面的信息公开，进一步完善政务公开制度体系，加快推动政务公开数字化转型，持续优化政策全流程公开，加强渠道建设，提升公开质效，充分发挥以公开促落实、优服务、强监督的作用，以更高质量政务公开服务上海加快建成具有世界影响力的社会主义现代化国际大都市。</w:t>
      </w:r>
    </w:p>
    <w:p>
      <w:pPr>
        <w:pStyle w:val="19"/>
        <w:keepNext w:val="0"/>
        <w:keepLines w:val="0"/>
        <w:pageBreakBefore w:val="0"/>
        <w:widowControl/>
        <w:numPr>
          <w:ilvl w:val="0"/>
          <w:numId w:val="1"/>
        </w:numPr>
        <w:suppressAutoHyphen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color w:val="auto"/>
          <w:kern w:val="2"/>
          <w:sz w:val="32"/>
          <w:szCs w:val="32"/>
          <w:lang w:val="en-US" w:eastAsia="zh-CN"/>
        </w:rPr>
      </w:pPr>
      <w:r>
        <w:rPr>
          <w:rFonts w:hint="eastAsia" w:ascii="方正黑体_GBK" w:hAnsi="方正黑体_GBK" w:eastAsia="方正黑体_GBK" w:cs="方正黑体_GBK"/>
          <w:color w:val="auto"/>
          <w:kern w:val="2"/>
          <w:sz w:val="32"/>
          <w:szCs w:val="32"/>
          <w:lang w:val="en-US" w:eastAsia="zh-CN"/>
        </w:rPr>
        <w:t>工作任务</w:t>
      </w:r>
    </w:p>
    <w:p>
      <w:pPr>
        <w:pStyle w:val="19"/>
        <w:keepNext w:val="0"/>
        <w:keepLines w:val="0"/>
        <w:pageBreakBefore w:val="0"/>
        <w:widowControl/>
        <w:numPr>
          <w:ilvl w:val="0"/>
          <w:numId w:val="0"/>
        </w:numPr>
        <w:suppressAutoHyphens/>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（一）加强知识产权重点领域信息公开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2"/>
          <w:sz w:val="32"/>
          <w:szCs w:val="32"/>
          <w:lang w:val="en-US" w:eastAsia="zh-CN" w:bidi="ar-SA"/>
        </w:rPr>
        <w:t>1.围绕</w:t>
      </w:r>
      <w:r>
        <w:rPr>
          <w:rFonts w:hint="default" w:ascii="仿宋_GB2312" w:hAnsi="仿宋_GB2312" w:eastAsia="仿宋_GB2312" w:cs="仿宋_GB2312"/>
          <w:b/>
          <w:bCs/>
          <w:color w:val="auto"/>
          <w:kern w:val="2"/>
          <w:sz w:val="32"/>
          <w:szCs w:val="32"/>
          <w:lang w:val="en-US" w:eastAsia="zh-CN" w:bidi="ar-SA"/>
        </w:rPr>
        <w:t>提升知识产权治理能力</w:t>
      </w:r>
      <w:r>
        <w:rPr>
          <w:rFonts w:hint="eastAsia" w:ascii="仿宋_GB2312" w:hAnsi="仿宋_GB2312" w:eastAsia="仿宋_GB2312" w:cs="仿宋_GB2312"/>
          <w:b/>
          <w:bCs/>
          <w:color w:val="auto"/>
          <w:kern w:val="2"/>
          <w:sz w:val="32"/>
          <w:szCs w:val="32"/>
          <w:lang w:val="en-US" w:eastAsia="zh-CN" w:bidi="ar-SA"/>
        </w:rPr>
        <w:t>深化信息公开。</w:t>
      </w:r>
      <w:r>
        <w:rPr>
          <w:rFonts w:hint="eastAsia" w:ascii="仿宋_GB2312" w:hAnsi="仿宋" w:eastAsia="仿宋_GB2312" w:cs="仿宋"/>
          <w:color w:val="auto"/>
          <w:kern w:val="2"/>
          <w:sz w:val="32"/>
          <w:szCs w:val="32"/>
          <w:lang w:val="en-US" w:eastAsia="zh-CN"/>
        </w:rPr>
        <w:t>及时公</w:t>
      </w:r>
      <w:r>
        <w:rPr>
          <w:rFonts w:hint="eastAsia" w:ascii="仿宋_GB2312" w:hAnsi="仿宋_GB2312" w:eastAsia="仿宋_GB2312" w:cs="仿宋_GB2312"/>
          <w:color w:val="auto"/>
          <w:kern w:val="0"/>
          <w:sz w:val="32"/>
          <w:szCs w:val="32"/>
          <w:lang w:val="en-US" w:eastAsia="zh-CN" w:bidi="ar"/>
        </w:rPr>
        <w:t>开</w:t>
      </w:r>
      <w:r>
        <w:rPr>
          <w:rFonts w:hint="eastAsia" w:ascii="Times New Roman" w:hAnsi="Times New Roman" w:eastAsia="仿宋_GB2312" w:cs="Times New Roman"/>
          <w:b w:val="0"/>
          <w:bCs w:val="0"/>
          <w:snapToGrid w:val="0"/>
          <w:color w:val="000000"/>
          <w:kern w:val="0"/>
          <w:sz w:val="32"/>
          <w:szCs w:val="32"/>
          <w:highlight w:val="none"/>
          <w:lang w:val="en-US" w:eastAsia="zh-CN" w:bidi="ar-SA"/>
        </w:rPr>
        <w:t>《知识产权强市建设纲要和“十四五”规划实施推进计划（2024—2025）》，围绕市政府与国家知识产权局共建高水平改革开放知识产权强市年度工作要点</w:t>
      </w:r>
      <w:r>
        <w:rPr>
          <w:rFonts w:hint="eastAsia" w:ascii="仿宋_GB2312" w:hAnsi="仿宋_GB2312" w:eastAsia="仿宋_GB2312" w:cs="仿宋_GB2312"/>
          <w:color w:val="auto"/>
          <w:kern w:val="0"/>
          <w:sz w:val="32"/>
          <w:szCs w:val="32"/>
          <w:lang w:val="en-US" w:eastAsia="zh-CN" w:bidi="ar"/>
        </w:rPr>
        <w:t>和实施情况，做好信息公开工作。聚焦社会关注热点，在稳步</w:t>
      </w:r>
      <w:r>
        <w:rPr>
          <w:rFonts w:hint="eastAsia" w:ascii="Times New Roman" w:hAnsi="Times New Roman" w:eastAsia="仿宋_GB2312" w:cs="Times New Roman"/>
          <w:b w:val="0"/>
          <w:bCs w:val="0"/>
          <w:snapToGrid w:val="0"/>
          <w:color w:val="000000"/>
          <w:kern w:val="0"/>
          <w:sz w:val="32"/>
          <w:szCs w:val="32"/>
          <w:highlight w:val="none"/>
          <w:lang w:val="en-US" w:eastAsia="zh-CN" w:bidi="ar-SA"/>
        </w:rPr>
        <w:t>推进自贸试验区高水平制度型开放、加快“五个中心”建设和浦东综合改革试点过程中，结合知识产权工作职能进行相关信息公开。</w:t>
      </w:r>
      <w:r>
        <w:rPr>
          <w:rFonts w:hint="eastAsia" w:ascii="仿宋_GB2312" w:hAnsi="仿宋_GB2312" w:eastAsia="仿宋_GB2312" w:cs="仿宋_GB2312"/>
          <w:color w:val="auto"/>
          <w:kern w:val="0"/>
          <w:sz w:val="32"/>
          <w:szCs w:val="32"/>
          <w:lang w:val="en-US" w:eastAsia="zh-CN" w:bidi="ar"/>
        </w:rPr>
        <w:t>（牵头部门：战略规划处、办公室（宣传处）；配合部门：各部门）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 w:eastAsia="仿宋_GB2312" w:cs="仿宋"/>
          <w:color w:val="auto"/>
          <w:kern w:val="2"/>
          <w:sz w:val="32"/>
          <w:szCs w:val="32"/>
        </w:rPr>
      </w:pPr>
      <w:r>
        <w:rPr>
          <w:rFonts w:hint="eastAsia" w:ascii="仿宋_GB2312" w:hAnsi="仿宋_GB2312" w:eastAsia="仿宋_GB2312" w:cs="仿宋_GB2312"/>
          <w:b/>
          <w:bCs/>
          <w:color w:val="auto"/>
          <w:kern w:val="2"/>
          <w:sz w:val="32"/>
          <w:szCs w:val="32"/>
          <w:lang w:val="en-US" w:eastAsia="zh-CN" w:bidi="ar-SA"/>
        </w:rPr>
        <w:t>2.围绕</w:t>
      </w:r>
      <w:r>
        <w:rPr>
          <w:rFonts w:hint="default" w:ascii="仿宋_GB2312" w:hAnsi="仿宋_GB2312" w:eastAsia="仿宋_GB2312" w:cs="仿宋_GB2312"/>
          <w:b/>
          <w:bCs/>
          <w:color w:val="auto"/>
          <w:kern w:val="2"/>
          <w:sz w:val="32"/>
          <w:szCs w:val="32"/>
          <w:lang w:val="en-US" w:eastAsia="zh-CN" w:bidi="ar-SA"/>
        </w:rPr>
        <w:t>健全知识产权保护体系</w:t>
      </w:r>
      <w:r>
        <w:rPr>
          <w:rFonts w:hint="eastAsia" w:ascii="仿宋_GB2312" w:hAnsi="仿宋_GB2312" w:eastAsia="仿宋_GB2312" w:cs="仿宋_GB2312"/>
          <w:b/>
          <w:bCs/>
          <w:color w:val="auto"/>
          <w:kern w:val="2"/>
          <w:sz w:val="32"/>
          <w:szCs w:val="32"/>
          <w:lang w:val="en-US" w:eastAsia="zh-CN" w:bidi="ar-SA"/>
        </w:rPr>
        <w:t>深化信息公开。</w:t>
      </w:r>
      <w:r>
        <w:rPr>
          <w:rFonts w:hint="eastAsia" w:eastAsia="仿宋_GB2312" w:cs="Times New Roman"/>
          <w:b w:val="0"/>
          <w:bCs w:val="0"/>
          <w:snapToGrid w:val="0"/>
          <w:color w:val="000000"/>
          <w:kern w:val="0"/>
          <w:sz w:val="32"/>
          <w:szCs w:val="32"/>
          <w:highlight w:val="none"/>
          <w:lang w:val="en-US" w:eastAsia="zh-CN" w:bidi="ar-SA"/>
        </w:rPr>
        <w:t>在</w:t>
      </w:r>
      <w:r>
        <w:rPr>
          <w:rFonts w:hint="default" w:ascii="Times New Roman" w:hAnsi="Times New Roman" w:eastAsia="仿宋_GB2312" w:cs="Times New Roman"/>
          <w:b w:val="0"/>
          <w:bCs w:val="0"/>
          <w:color w:val="000000"/>
          <w:kern w:val="2"/>
          <w:sz w:val="32"/>
          <w:szCs w:val="32"/>
          <w:highlight w:val="none"/>
          <w:lang w:val="en-US" w:eastAsia="zh-CN" w:bidi="ar-SA"/>
        </w:rPr>
        <w:t>开展</w:t>
      </w:r>
      <w:r>
        <w:rPr>
          <w:rFonts w:hint="eastAsia" w:ascii="Times New Roman" w:hAnsi="Times New Roman" w:eastAsia="仿宋_GB2312" w:cs="Times New Roman"/>
          <w:b w:val="0"/>
          <w:bCs w:val="0"/>
          <w:color w:val="000000"/>
          <w:kern w:val="2"/>
          <w:sz w:val="32"/>
          <w:szCs w:val="32"/>
          <w:highlight w:val="none"/>
          <w:lang w:val="en-US" w:eastAsia="zh-CN" w:bidi="ar-SA"/>
        </w:rPr>
        <w:t>各领域</w:t>
      </w:r>
      <w:r>
        <w:rPr>
          <w:rFonts w:hint="default" w:ascii="Times New Roman" w:hAnsi="Times New Roman" w:eastAsia="仿宋_GB2312" w:cs="Times New Roman"/>
          <w:b w:val="0"/>
          <w:bCs w:val="0"/>
          <w:color w:val="000000"/>
          <w:kern w:val="2"/>
          <w:sz w:val="32"/>
          <w:szCs w:val="32"/>
          <w:highlight w:val="none"/>
          <w:lang w:val="en-US" w:eastAsia="zh-CN" w:bidi="ar-SA"/>
        </w:rPr>
        <w:t>知识产权执法保护专项行动</w:t>
      </w:r>
      <w:r>
        <w:rPr>
          <w:rFonts w:hint="eastAsia"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强化跨部门协同保护</w:t>
      </w:r>
      <w:r>
        <w:rPr>
          <w:rFonts w:hint="eastAsia"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严厉查处侵犯知识产权违法犯罪行为</w:t>
      </w:r>
      <w:r>
        <w:rPr>
          <w:rFonts w:hint="eastAsia" w:eastAsia="仿宋_GB2312" w:cs="Times New Roman"/>
          <w:b w:val="0"/>
          <w:bCs w:val="0"/>
          <w:color w:val="000000"/>
          <w:kern w:val="2"/>
          <w:sz w:val="32"/>
          <w:szCs w:val="32"/>
          <w:highlight w:val="none"/>
          <w:lang w:val="en-US" w:eastAsia="zh-CN" w:bidi="ar-SA"/>
        </w:rPr>
        <w:t>等方面加强信息公开力度</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高标准建设浦东新区</w:t>
      </w:r>
      <w:r>
        <w:rPr>
          <w:rFonts w:hint="eastAsia" w:ascii="Times New Roman" w:hAnsi="Times New Roman" w:eastAsia="仿宋_GB2312" w:cs="Times New Roman"/>
          <w:b w:val="0"/>
          <w:bCs w:val="0"/>
          <w:color w:val="000000"/>
          <w:kern w:val="2"/>
          <w:sz w:val="32"/>
          <w:szCs w:val="32"/>
          <w:highlight w:val="none"/>
          <w:lang w:val="en-US" w:eastAsia="zh-CN" w:bidi="ar-SA"/>
        </w:rPr>
        <w:t>和徐汇区</w:t>
      </w:r>
      <w:r>
        <w:rPr>
          <w:rFonts w:hint="default" w:ascii="Times New Roman" w:hAnsi="Times New Roman" w:eastAsia="仿宋_GB2312" w:cs="Times New Roman"/>
          <w:b w:val="0"/>
          <w:bCs w:val="0"/>
          <w:color w:val="000000"/>
          <w:kern w:val="2"/>
          <w:sz w:val="32"/>
          <w:szCs w:val="32"/>
          <w:highlight w:val="none"/>
          <w:lang w:val="en-US" w:eastAsia="zh-CN" w:bidi="ar-SA"/>
        </w:rPr>
        <w:t>国家知识产权保护示范区，</w:t>
      </w:r>
      <w:r>
        <w:rPr>
          <w:rFonts w:hint="eastAsia" w:ascii="仿宋_GB2312" w:hAnsi="仿宋_GB2312" w:eastAsia="仿宋_GB2312" w:cs="仿宋_GB2312"/>
          <w:color w:val="auto"/>
          <w:kern w:val="0"/>
          <w:sz w:val="32"/>
          <w:szCs w:val="32"/>
          <w:lang w:val="en-US" w:eastAsia="zh-CN" w:bidi="ar"/>
        </w:rPr>
        <w:t>做好知识产权保护示范创建激励政策解读和信息公开工</w:t>
      </w:r>
      <w:r>
        <w:rPr>
          <w:rFonts w:hint="eastAsia" w:ascii="Times New Roman" w:hAnsi="Times New Roman" w:eastAsia="仿宋_GB2312" w:cs="Times New Roman"/>
          <w:b w:val="0"/>
          <w:bCs w:val="0"/>
          <w:color w:val="000000"/>
          <w:kern w:val="2"/>
          <w:sz w:val="32"/>
          <w:szCs w:val="32"/>
          <w:highlight w:val="none"/>
          <w:lang w:val="en-US" w:eastAsia="zh-CN" w:bidi="ar-SA"/>
        </w:rPr>
        <w:t>作。</w:t>
      </w:r>
      <w:r>
        <w:rPr>
          <w:rFonts w:hint="default" w:ascii="Times New Roman" w:hAnsi="Times New Roman" w:eastAsia="仿宋_GB2312" w:cs="Times New Roman"/>
          <w:b w:val="0"/>
          <w:bCs w:val="0"/>
          <w:color w:val="000000"/>
          <w:kern w:val="2"/>
          <w:sz w:val="32"/>
          <w:szCs w:val="32"/>
          <w:highlight w:val="none"/>
          <w:lang w:val="en-US" w:eastAsia="zh-CN" w:bidi="ar-SA"/>
        </w:rPr>
        <w:t>结合《上海市加强新时代专利侵权纠纷行政裁决工作的实施方案》的制定</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eastAsia" w:eastAsia="仿宋_GB2312" w:cs="Times New Roman"/>
          <w:b w:val="0"/>
          <w:bCs w:val="0"/>
          <w:color w:val="000000"/>
          <w:kern w:val="2"/>
          <w:sz w:val="32"/>
          <w:szCs w:val="32"/>
          <w:highlight w:val="none"/>
          <w:lang w:val="en-US" w:eastAsia="zh-CN" w:bidi="ar-SA"/>
        </w:rPr>
        <w:t>做好相关政策解读。面向社会公开</w:t>
      </w:r>
      <w:r>
        <w:rPr>
          <w:rFonts w:hint="default" w:ascii="Times New Roman" w:hAnsi="Times New Roman" w:eastAsia="仿宋_GB2312" w:cs="Times New Roman"/>
          <w:b w:val="0"/>
          <w:bCs w:val="0"/>
          <w:color w:val="000000"/>
          <w:sz w:val="32"/>
          <w:szCs w:val="32"/>
          <w:highlight w:val="none"/>
          <w:lang w:eastAsia="zh-CN"/>
        </w:rPr>
        <w:t>第七届进博会、第十届上交会等重大展会知识产权服务保障</w:t>
      </w:r>
      <w:r>
        <w:rPr>
          <w:rFonts w:hint="eastAsia" w:eastAsia="仿宋_GB2312" w:cs="Times New Roman"/>
          <w:b w:val="0"/>
          <w:bCs w:val="0"/>
          <w:color w:val="000000"/>
          <w:sz w:val="32"/>
          <w:szCs w:val="32"/>
          <w:highlight w:val="none"/>
          <w:lang w:eastAsia="zh-CN"/>
        </w:rPr>
        <w:t>情</w:t>
      </w:r>
      <w:r>
        <w:rPr>
          <w:rFonts w:hint="eastAsia" w:ascii="Times New Roman" w:hAnsi="Times New Roman" w:eastAsia="仿宋_GB2312" w:cs="Times New Roman"/>
          <w:b w:val="0"/>
          <w:bCs w:val="0"/>
          <w:color w:val="000000"/>
          <w:sz w:val="32"/>
          <w:szCs w:val="32"/>
          <w:highlight w:val="none"/>
          <w:lang w:eastAsia="zh-CN"/>
        </w:rPr>
        <w:t>况。</w:t>
      </w:r>
      <w:r>
        <w:rPr>
          <w:rFonts w:hint="eastAsia" w:ascii="Times New Roman" w:hAnsi="Times New Roman" w:eastAsia="仿宋_GB2312" w:cs="Times New Roman"/>
          <w:b w:val="0"/>
          <w:bCs w:val="0"/>
          <w:color w:val="000000"/>
          <w:sz w:val="32"/>
          <w:szCs w:val="32"/>
          <w:highlight w:val="none"/>
          <w:lang w:val="en-US" w:eastAsia="zh-CN"/>
        </w:rPr>
        <w:t>做好知识产权案件海外应对相关信息公开。</w:t>
      </w:r>
      <w:r>
        <w:rPr>
          <w:rFonts w:hint="eastAsia" w:ascii="仿宋_GB2312" w:hAnsi="仿宋" w:eastAsia="仿宋_GB2312" w:cs="仿宋"/>
          <w:color w:val="auto"/>
          <w:kern w:val="2"/>
          <w:sz w:val="32"/>
          <w:szCs w:val="32"/>
        </w:rPr>
        <w:t>（</w:t>
      </w:r>
      <w:r>
        <w:rPr>
          <w:rFonts w:hint="eastAsia" w:ascii="仿宋_GB2312" w:hAnsi="仿宋" w:eastAsia="仿宋_GB2312" w:cs="仿宋"/>
          <w:color w:val="auto"/>
          <w:kern w:val="2"/>
          <w:sz w:val="32"/>
          <w:szCs w:val="32"/>
          <w:highlight w:val="none"/>
        </w:rPr>
        <w:t>牵头部门：</w:t>
      </w:r>
      <w:r>
        <w:rPr>
          <w:rFonts w:hint="eastAsia" w:ascii="仿宋_GB2312" w:hAnsi="仿宋" w:eastAsia="仿宋_GB2312" w:cs="仿宋"/>
          <w:color w:val="auto"/>
          <w:kern w:val="2"/>
          <w:sz w:val="32"/>
          <w:szCs w:val="32"/>
          <w:highlight w:val="none"/>
          <w:lang w:eastAsia="zh-CN"/>
        </w:rPr>
        <w:t>保护处</w:t>
      </w:r>
      <w:r>
        <w:rPr>
          <w:rFonts w:hint="eastAsia" w:ascii="仿宋_GB2312" w:hAnsi="仿宋" w:eastAsia="仿宋_GB2312" w:cs="仿宋"/>
          <w:color w:val="auto"/>
          <w:kern w:val="2"/>
          <w:sz w:val="32"/>
          <w:szCs w:val="32"/>
          <w:highlight w:val="none"/>
        </w:rPr>
        <w:t>；</w:t>
      </w:r>
      <w:r>
        <w:rPr>
          <w:rFonts w:hint="eastAsia" w:ascii="仿宋_GB2312" w:hAnsi="仿宋" w:eastAsia="仿宋_GB2312" w:cs="仿宋"/>
          <w:color w:val="auto"/>
          <w:kern w:val="2"/>
          <w:sz w:val="32"/>
          <w:szCs w:val="32"/>
        </w:rPr>
        <w:t>配合部门：</w:t>
      </w:r>
      <w:r>
        <w:rPr>
          <w:rFonts w:hint="eastAsia" w:ascii="仿宋_GB2312" w:hAnsi="仿宋" w:eastAsia="仿宋_GB2312" w:cs="仿宋"/>
          <w:color w:val="auto"/>
          <w:kern w:val="2"/>
          <w:sz w:val="32"/>
          <w:szCs w:val="32"/>
          <w:lang w:eastAsia="zh-CN"/>
        </w:rPr>
        <w:t>各部门</w:t>
      </w:r>
      <w:r>
        <w:rPr>
          <w:rFonts w:hint="eastAsia" w:ascii="仿宋_GB2312" w:hAnsi="仿宋" w:eastAsia="仿宋_GB2312" w:cs="仿宋"/>
          <w:color w:val="auto"/>
          <w:kern w:val="2"/>
          <w:sz w:val="32"/>
          <w:szCs w:val="32"/>
        </w:rPr>
        <w:t>）</w:t>
      </w: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 w:eastAsia="仿宋_GB2312" w:cs="仿宋"/>
          <w:color w:val="auto"/>
          <w:kern w:val="2"/>
          <w:sz w:val="32"/>
          <w:szCs w:val="32"/>
        </w:rPr>
      </w:pPr>
      <w:r>
        <w:rPr>
          <w:rFonts w:hint="eastAsia" w:ascii="仿宋_GB2312" w:hAnsi="仿宋_GB2312" w:eastAsia="仿宋_GB2312" w:cs="仿宋_GB2312"/>
          <w:b/>
          <w:bCs/>
          <w:color w:val="auto"/>
          <w:kern w:val="2"/>
          <w:sz w:val="32"/>
          <w:szCs w:val="32"/>
          <w:lang w:val="en-US" w:eastAsia="zh-CN" w:bidi="ar-SA"/>
        </w:rPr>
        <w:t>3.围绕</w:t>
      </w:r>
      <w:r>
        <w:rPr>
          <w:rFonts w:hint="default" w:ascii="仿宋_GB2312" w:hAnsi="仿宋_GB2312" w:eastAsia="仿宋_GB2312" w:cs="仿宋_GB2312"/>
          <w:b/>
          <w:bCs/>
          <w:color w:val="auto"/>
          <w:kern w:val="2"/>
          <w:sz w:val="32"/>
          <w:szCs w:val="32"/>
          <w:lang w:val="en-US" w:eastAsia="zh-CN" w:bidi="ar-SA"/>
        </w:rPr>
        <w:t>促进知识产权转化运用</w:t>
      </w:r>
      <w:r>
        <w:rPr>
          <w:rFonts w:hint="eastAsia" w:ascii="仿宋_GB2312" w:hAnsi="仿宋_GB2312" w:eastAsia="仿宋_GB2312" w:cs="仿宋_GB2312"/>
          <w:b/>
          <w:bCs/>
          <w:color w:val="auto"/>
          <w:kern w:val="2"/>
          <w:sz w:val="32"/>
          <w:szCs w:val="32"/>
          <w:lang w:val="en-US" w:eastAsia="zh-CN" w:bidi="ar-SA"/>
        </w:rPr>
        <w:t>深化信息公开。</w:t>
      </w:r>
      <w:r>
        <w:rPr>
          <w:rFonts w:hint="eastAsia" w:ascii="仿宋_GB2312" w:hAnsi="仿宋_GB2312" w:eastAsia="仿宋_GB2312" w:cs="仿宋_GB2312"/>
          <w:b w:val="0"/>
          <w:bCs w:val="0"/>
          <w:color w:val="auto"/>
          <w:kern w:val="2"/>
          <w:sz w:val="32"/>
          <w:szCs w:val="32"/>
          <w:lang w:val="en-US" w:eastAsia="zh-CN" w:bidi="ar-SA"/>
        </w:rPr>
        <w:t>做好</w:t>
      </w:r>
      <w:r>
        <w:rPr>
          <w:rFonts w:hint="eastAsia" w:ascii="Times New Roman" w:hAnsi="Times New Roman" w:eastAsia="仿宋_GB2312" w:cs="Times New Roman"/>
          <w:b w:val="0"/>
          <w:bCs w:val="0"/>
          <w:snapToGrid w:val="0"/>
          <w:color w:val="auto"/>
          <w:kern w:val="0"/>
          <w:sz w:val="32"/>
          <w:szCs w:val="32"/>
          <w:highlight w:val="none"/>
          <w:lang w:val="en-US" w:eastAsia="zh-CN"/>
        </w:rPr>
        <w:t>《上海市专利转化运用专项行动实施方案》</w:t>
      </w:r>
      <w:r>
        <w:rPr>
          <w:rFonts w:hint="eastAsia" w:eastAsia="仿宋_GB2312" w:cs="Times New Roman"/>
          <w:b w:val="0"/>
          <w:bCs w:val="0"/>
          <w:snapToGrid w:val="0"/>
          <w:color w:val="auto"/>
          <w:kern w:val="0"/>
          <w:sz w:val="32"/>
          <w:szCs w:val="32"/>
          <w:highlight w:val="none"/>
          <w:lang w:val="en-US" w:eastAsia="zh-CN"/>
        </w:rPr>
        <w:t>政策解读和信息公开工作。在推动专利产业化、实施</w:t>
      </w:r>
      <w:r>
        <w:rPr>
          <w:rFonts w:hint="eastAsia" w:ascii="Times New Roman" w:hAnsi="Times New Roman" w:eastAsia="仿宋_GB2312" w:cs="Times New Roman"/>
          <w:b w:val="0"/>
          <w:bCs w:val="0"/>
          <w:snapToGrid w:val="0"/>
          <w:color w:val="auto"/>
          <w:kern w:val="0"/>
          <w:sz w:val="32"/>
          <w:szCs w:val="32"/>
          <w:highlight w:val="none"/>
          <w:lang w:val="en-US" w:eastAsia="zh-CN"/>
        </w:rPr>
        <w:t>高价值专利培育工程</w:t>
      </w:r>
      <w:r>
        <w:rPr>
          <w:rFonts w:hint="eastAsia" w:eastAsia="仿宋_GB2312" w:cs="Times New Roman"/>
          <w:b w:val="0"/>
          <w:bCs w:val="0"/>
          <w:snapToGrid w:val="0"/>
          <w:color w:val="auto"/>
          <w:kern w:val="0"/>
          <w:sz w:val="32"/>
          <w:szCs w:val="32"/>
          <w:highlight w:val="none"/>
          <w:lang w:val="en-US" w:eastAsia="zh-CN"/>
        </w:rPr>
        <w:t>、</w:t>
      </w:r>
      <w:r>
        <w:rPr>
          <w:rFonts w:hint="eastAsia" w:ascii="Times New Roman" w:hAnsi="Times New Roman" w:eastAsia="仿宋_GB2312" w:cs="Times New Roman"/>
          <w:b w:val="0"/>
          <w:bCs w:val="0"/>
          <w:snapToGrid w:val="0"/>
          <w:color w:val="auto"/>
          <w:kern w:val="0"/>
          <w:sz w:val="32"/>
          <w:szCs w:val="32"/>
          <w:highlight w:val="none"/>
          <w:lang w:val="en-US" w:eastAsia="zh-CN"/>
        </w:rPr>
        <w:t>实施专利导航</w:t>
      </w:r>
      <w:r>
        <w:rPr>
          <w:rFonts w:hint="eastAsia" w:eastAsia="仿宋_GB2312" w:cs="Times New Roman"/>
          <w:b w:val="0"/>
          <w:bCs w:val="0"/>
          <w:snapToGrid w:val="0"/>
          <w:color w:val="auto"/>
          <w:kern w:val="0"/>
          <w:sz w:val="32"/>
          <w:szCs w:val="32"/>
          <w:highlight w:val="none"/>
          <w:lang w:val="en-US" w:eastAsia="zh-CN"/>
        </w:rPr>
        <w:t>、</w:t>
      </w:r>
      <w:r>
        <w:rPr>
          <w:rFonts w:hint="eastAsia" w:ascii="Times New Roman" w:hAnsi="Times New Roman" w:eastAsia="仿宋_GB2312" w:cs="Times New Roman"/>
          <w:b w:val="0"/>
          <w:bCs w:val="0"/>
          <w:snapToGrid w:val="0"/>
          <w:color w:val="auto"/>
          <w:kern w:val="0"/>
          <w:sz w:val="32"/>
          <w:szCs w:val="32"/>
          <w:highlight w:val="none"/>
          <w:lang w:val="en-US" w:eastAsia="zh-CN"/>
        </w:rPr>
        <w:t>培育知识产权要素市场</w:t>
      </w:r>
      <w:r>
        <w:rPr>
          <w:rFonts w:hint="eastAsia" w:eastAsia="仿宋_GB2312" w:cs="Times New Roman"/>
          <w:b w:val="0"/>
          <w:bCs w:val="0"/>
          <w:snapToGrid w:val="0"/>
          <w:color w:val="auto"/>
          <w:kern w:val="0"/>
          <w:sz w:val="32"/>
          <w:szCs w:val="32"/>
          <w:highlight w:val="none"/>
          <w:lang w:val="en-US" w:eastAsia="zh-CN"/>
        </w:rPr>
        <w:t>、扩</w:t>
      </w:r>
      <w:r>
        <w:rPr>
          <w:rFonts w:hint="eastAsia" w:ascii="Times New Roman" w:hAnsi="Times New Roman" w:eastAsia="仿宋_GB2312" w:cs="Times New Roman"/>
          <w:b w:val="0"/>
          <w:bCs w:val="0"/>
          <w:snapToGrid w:val="0"/>
          <w:color w:val="auto"/>
          <w:kern w:val="0"/>
          <w:sz w:val="32"/>
          <w:szCs w:val="32"/>
          <w:highlight w:val="none"/>
          <w:lang w:val="en-US" w:eastAsia="zh-CN"/>
        </w:rPr>
        <w:t>大知识产权质押融资规模</w:t>
      </w:r>
      <w:r>
        <w:rPr>
          <w:rFonts w:hint="eastAsia" w:eastAsia="仿宋_GB2312" w:cs="Times New Roman"/>
          <w:b w:val="0"/>
          <w:bCs w:val="0"/>
          <w:snapToGrid w:val="0"/>
          <w:color w:val="auto"/>
          <w:kern w:val="0"/>
          <w:sz w:val="32"/>
          <w:szCs w:val="32"/>
          <w:highlight w:val="none"/>
          <w:lang w:val="en-US" w:eastAsia="zh-CN"/>
        </w:rPr>
        <w:t>等方面，加强信息公开力度。</w:t>
      </w:r>
      <w:r>
        <w:rPr>
          <w:rFonts w:hint="eastAsia" w:ascii="Times New Roman" w:hAnsi="Times New Roman" w:eastAsia="仿宋_GB2312" w:cs="Times New Roman"/>
          <w:b w:val="0"/>
          <w:bCs w:val="0"/>
          <w:snapToGrid w:val="0"/>
          <w:color w:val="auto"/>
          <w:kern w:val="0"/>
          <w:sz w:val="32"/>
          <w:szCs w:val="32"/>
          <w:highlight w:val="none"/>
          <w:lang w:val="en-US" w:eastAsia="zh-CN"/>
        </w:rPr>
        <w:t>及时展示“</w:t>
      </w:r>
      <w:r>
        <w:rPr>
          <w:rFonts w:hint="default" w:ascii="Times New Roman" w:hAnsi="Times New Roman" w:eastAsia="仿宋_GB2312" w:cs="Times New Roman"/>
          <w:b w:val="0"/>
          <w:bCs w:val="0"/>
          <w:snapToGrid w:val="0"/>
          <w:color w:val="auto"/>
          <w:kern w:val="0"/>
          <w:sz w:val="32"/>
          <w:szCs w:val="32"/>
          <w:highlight w:val="none"/>
          <w:lang w:val="en-US" w:eastAsia="zh-CN"/>
        </w:rPr>
        <w:t>千企百城</w:t>
      </w:r>
      <w:r>
        <w:rPr>
          <w:rFonts w:hint="eastAsia" w:ascii="Times New Roman" w:hAnsi="Times New Roman" w:eastAsia="仿宋_GB2312" w:cs="Times New Roman"/>
          <w:b w:val="0"/>
          <w:bCs w:val="0"/>
          <w:snapToGrid w:val="0"/>
          <w:color w:val="auto"/>
          <w:kern w:val="0"/>
          <w:sz w:val="32"/>
          <w:szCs w:val="32"/>
          <w:highlight w:val="none"/>
          <w:lang w:val="en-US"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rPr>
        <w:t>商标品牌价值提升行动</w:t>
      </w:r>
      <w:r>
        <w:rPr>
          <w:rFonts w:hint="eastAsia" w:ascii="Times New Roman" w:hAnsi="Times New Roman" w:eastAsia="仿宋_GB2312" w:cs="Times New Roman"/>
          <w:b w:val="0"/>
          <w:bCs w:val="0"/>
          <w:snapToGrid w:val="0"/>
          <w:color w:val="auto"/>
          <w:kern w:val="0"/>
          <w:sz w:val="32"/>
          <w:szCs w:val="32"/>
          <w:highlight w:val="none"/>
          <w:lang w:val="en-US" w:eastAsia="zh-CN"/>
        </w:rPr>
        <w:t>进展和成效。</w:t>
      </w:r>
      <w:r>
        <w:rPr>
          <w:rFonts w:hint="eastAsia" w:ascii="仿宋_GB2312" w:hAnsi="仿宋" w:eastAsia="仿宋_GB2312" w:cs="仿宋"/>
          <w:color w:val="auto"/>
          <w:kern w:val="2"/>
          <w:sz w:val="32"/>
          <w:szCs w:val="32"/>
        </w:rPr>
        <w:t>（牵头部门：</w:t>
      </w:r>
      <w:r>
        <w:rPr>
          <w:rFonts w:hint="eastAsia" w:ascii="仿宋_GB2312" w:hAnsi="仿宋" w:eastAsia="仿宋_GB2312" w:cs="仿宋"/>
          <w:color w:val="auto"/>
          <w:kern w:val="2"/>
          <w:sz w:val="32"/>
          <w:szCs w:val="32"/>
          <w:lang w:eastAsia="zh-CN"/>
        </w:rPr>
        <w:t>运用促进处；配合部门：</w:t>
      </w:r>
      <w:r>
        <w:rPr>
          <w:rFonts w:hint="eastAsia" w:ascii="仿宋_GB2312" w:hAnsi="仿宋" w:eastAsia="仿宋_GB2312" w:cs="仿宋"/>
          <w:color w:val="auto"/>
          <w:kern w:val="2"/>
          <w:sz w:val="32"/>
          <w:szCs w:val="32"/>
        </w:rPr>
        <w:t>办公室（宣传处））</w:t>
      </w: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 w:eastAsia="仿宋_GB2312" w:cs="仿宋"/>
          <w:b/>
          <w:bCs/>
          <w:color w:val="auto"/>
          <w:kern w:val="2"/>
          <w:sz w:val="32"/>
          <w:szCs w:val="32"/>
          <w:lang w:val="en-US" w:eastAsia="zh-CN"/>
        </w:rPr>
        <w:t>4</w:t>
      </w:r>
      <w:r>
        <w:rPr>
          <w:rFonts w:hint="eastAsia" w:ascii="仿宋_GB2312" w:hAnsi="仿宋" w:eastAsia="仿宋_GB2312" w:cs="仿宋"/>
          <w:b/>
          <w:bCs/>
          <w:color w:val="auto"/>
          <w:kern w:val="2"/>
          <w:sz w:val="32"/>
          <w:szCs w:val="32"/>
          <w:highlight w:val="none"/>
          <w:lang w:val="en-US" w:eastAsia="zh-CN"/>
        </w:rPr>
        <w:t>.围绕</w:t>
      </w:r>
      <w:r>
        <w:rPr>
          <w:rFonts w:hint="default" w:ascii="仿宋_GB2312" w:hAnsi="仿宋" w:eastAsia="仿宋_GB2312" w:cs="仿宋"/>
          <w:b/>
          <w:bCs/>
          <w:color w:val="auto"/>
          <w:kern w:val="2"/>
          <w:sz w:val="32"/>
          <w:szCs w:val="32"/>
          <w:highlight w:val="none"/>
          <w:lang w:val="en-US" w:eastAsia="zh-CN"/>
        </w:rPr>
        <w:t>加强知识产权服务供给</w:t>
      </w:r>
      <w:r>
        <w:rPr>
          <w:rFonts w:hint="eastAsia" w:ascii="仿宋_GB2312" w:hAnsi="仿宋" w:eastAsia="仿宋_GB2312" w:cs="仿宋"/>
          <w:b/>
          <w:bCs/>
          <w:color w:val="auto"/>
          <w:kern w:val="2"/>
          <w:sz w:val="32"/>
          <w:szCs w:val="32"/>
          <w:highlight w:val="none"/>
          <w:lang w:val="en-US" w:eastAsia="zh-CN"/>
        </w:rPr>
        <w:t>做好信息公</w:t>
      </w:r>
      <w:r>
        <w:rPr>
          <w:rFonts w:hint="eastAsia" w:ascii="仿宋_GB2312" w:hAnsi="仿宋_GB2312" w:eastAsia="仿宋_GB2312" w:cs="仿宋_GB2312"/>
          <w:b/>
          <w:bCs/>
          <w:color w:val="auto"/>
          <w:kern w:val="2"/>
          <w:sz w:val="32"/>
          <w:szCs w:val="32"/>
          <w:highlight w:val="none"/>
          <w:lang w:val="en-US" w:eastAsia="zh-CN" w:bidi="ar-SA"/>
        </w:rPr>
        <w:t>开。</w:t>
      </w:r>
      <w:r>
        <w:rPr>
          <w:rFonts w:hint="eastAsia" w:ascii="仿宋_GB2312" w:hAnsi="仿宋_GB2312" w:eastAsia="仿宋_GB2312" w:cs="仿宋_GB2312"/>
          <w:b w:val="0"/>
          <w:bCs w:val="0"/>
          <w:color w:val="auto"/>
          <w:kern w:val="2"/>
          <w:sz w:val="32"/>
          <w:szCs w:val="32"/>
          <w:highlight w:val="none"/>
          <w:lang w:val="en-US" w:eastAsia="zh-CN" w:bidi="ar-SA"/>
        </w:rPr>
        <w:t>进一步优化知识产权领域营商环境，在各区</w:t>
      </w:r>
      <w:r>
        <w:rPr>
          <w:rFonts w:hint="eastAsia" w:ascii="Times New Roman" w:hAnsi="Times New Roman" w:eastAsia="仿宋_GB2312" w:cs="Times New Roman"/>
          <w:b w:val="0"/>
          <w:bCs w:val="0"/>
          <w:color w:val="auto"/>
          <w:sz w:val="32"/>
          <w:szCs w:val="32"/>
          <w:highlight w:val="none"/>
          <w:lang w:val="en-US" w:eastAsia="zh-CN"/>
        </w:rPr>
        <w:t>实施知识产权公共服务普惠工程</w:t>
      </w:r>
      <w:r>
        <w:rPr>
          <w:rFonts w:hint="eastAsia" w:eastAsia="仿宋_GB2312" w:cs="Times New Roman"/>
          <w:b w:val="0"/>
          <w:bCs w:val="0"/>
          <w:color w:val="auto"/>
          <w:sz w:val="32"/>
          <w:szCs w:val="32"/>
          <w:highlight w:val="none"/>
          <w:lang w:val="en-US" w:eastAsia="zh-CN"/>
        </w:rPr>
        <w:t>、完善</w:t>
      </w:r>
      <w:r>
        <w:rPr>
          <w:rFonts w:hint="default" w:ascii="Times New Roman" w:hAnsi="Times New Roman" w:eastAsia="仿宋_GB2312" w:cs="Times New Roman"/>
          <w:b w:val="0"/>
          <w:bCs w:val="0"/>
          <w:color w:val="auto"/>
          <w:sz w:val="32"/>
          <w:szCs w:val="32"/>
          <w:highlight w:val="none"/>
          <w:lang w:val="en-US" w:eastAsia="zh-CN"/>
        </w:rPr>
        <w:t>综合性知识产权公共服务窗口功能</w:t>
      </w:r>
      <w:r>
        <w:rPr>
          <w:rFonts w:hint="eastAsia"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升级建设</w:t>
      </w:r>
      <w:r>
        <w:rPr>
          <w:rFonts w:hint="default" w:ascii="Times New Roman" w:hAnsi="Times New Roman" w:eastAsia="仿宋_GB2312" w:cs="Times New Roman"/>
          <w:b w:val="0"/>
          <w:bCs w:val="0"/>
          <w:color w:val="auto"/>
          <w:sz w:val="32"/>
          <w:szCs w:val="32"/>
          <w:highlight w:val="none"/>
          <w:lang w:val="en-US" w:eastAsia="zh-CN"/>
        </w:rPr>
        <w:t>知识产权</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一件事</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集成服务平台</w:t>
      </w:r>
      <w:r>
        <w:rPr>
          <w:rFonts w:hint="eastAsia" w:eastAsia="仿宋_GB2312" w:cs="Times New Roman"/>
          <w:b w:val="0"/>
          <w:bCs w:val="0"/>
          <w:color w:val="auto"/>
          <w:sz w:val="32"/>
          <w:szCs w:val="32"/>
          <w:highlight w:val="none"/>
          <w:lang w:val="en-US" w:eastAsia="zh-CN"/>
        </w:rPr>
        <w:t>等方面，强化信息公开</w:t>
      </w:r>
      <w:r>
        <w:rPr>
          <w:rFonts w:hint="eastAsia" w:ascii="Times New Roman" w:hAnsi="Times New Roman" w:eastAsia="仿宋_GB2312" w:cs="Times New Roman"/>
          <w:b w:val="0"/>
          <w:bCs w:val="0"/>
          <w:color w:val="auto"/>
          <w:sz w:val="32"/>
          <w:szCs w:val="32"/>
          <w:highlight w:val="none"/>
          <w:lang w:val="en-US" w:eastAsia="zh-CN"/>
        </w:rPr>
        <w:t>。</w:t>
      </w:r>
      <w:r>
        <w:rPr>
          <w:rFonts w:hint="eastAsia" w:eastAsia="仿宋_GB2312" w:cs="Times New Roman"/>
          <w:b w:val="0"/>
          <w:bCs w:val="0"/>
          <w:color w:val="auto"/>
          <w:sz w:val="32"/>
          <w:szCs w:val="32"/>
          <w:highlight w:val="none"/>
          <w:lang w:val="en-US" w:eastAsia="zh-CN"/>
        </w:rPr>
        <w:t>按照</w:t>
      </w:r>
      <w:r>
        <w:rPr>
          <w:rFonts w:hint="eastAsia" w:ascii="Times New Roman" w:hAnsi="Times New Roman" w:eastAsia="仿宋_GB2312" w:cs="Times New Roman"/>
          <w:b w:val="0"/>
          <w:bCs w:val="0"/>
          <w:color w:val="auto"/>
          <w:sz w:val="32"/>
          <w:szCs w:val="32"/>
          <w:highlight w:val="none"/>
          <w:lang w:val="en-US" w:eastAsia="zh-CN"/>
        </w:rPr>
        <w:t>知识产权公共服务标准化城市建设试点</w:t>
      </w:r>
      <w:r>
        <w:rPr>
          <w:rFonts w:hint="eastAsia" w:eastAsia="仿宋_GB2312" w:cs="Times New Roman"/>
          <w:b w:val="0"/>
          <w:bCs w:val="0"/>
          <w:color w:val="auto"/>
          <w:sz w:val="32"/>
          <w:szCs w:val="32"/>
          <w:highlight w:val="none"/>
          <w:lang w:val="en-US" w:eastAsia="zh-CN"/>
        </w:rPr>
        <w:t>工作要求</w:t>
      </w:r>
      <w:r>
        <w:rPr>
          <w:rFonts w:hint="eastAsia" w:ascii="Times New Roman" w:hAnsi="Times New Roman" w:eastAsia="仿宋_GB2312" w:cs="Times New Roman"/>
          <w:b w:val="0"/>
          <w:bCs w:val="0"/>
          <w:color w:val="auto"/>
          <w:sz w:val="32"/>
          <w:szCs w:val="32"/>
          <w:highlight w:val="none"/>
          <w:lang w:val="en-US" w:eastAsia="zh-CN"/>
        </w:rPr>
        <w:t>，出台公共服务标准化规范。</w:t>
      </w:r>
      <w:r>
        <w:rPr>
          <w:rFonts w:hint="eastAsia" w:eastAsia="仿宋_GB2312" w:cs="Times New Roman"/>
          <w:b w:val="0"/>
          <w:bCs w:val="0"/>
          <w:color w:val="auto"/>
          <w:sz w:val="32"/>
          <w:szCs w:val="32"/>
          <w:highlight w:val="none"/>
          <w:lang w:val="en-US" w:eastAsia="zh-CN"/>
        </w:rPr>
        <w:t>聚焦各类主体需求，公开上海</w:t>
      </w:r>
      <w:r>
        <w:rPr>
          <w:rFonts w:hint="default" w:ascii="Times New Roman" w:hAnsi="Times New Roman" w:eastAsia="仿宋_GB2312" w:cs="Times New Roman"/>
          <w:b w:val="0"/>
          <w:bCs w:val="0"/>
          <w:color w:val="auto"/>
          <w:sz w:val="32"/>
          <w:szCs w:val="32"/>
          <w:highlight w:val="none"/>
        </w:rPr>
        <w:t>推动知识产权服务业高质量发展的若干措施</w:t>
      </w:r>
      <w:r>
        <w:rPr>
          <w:rFonts w:hint="eastAsia" w:eastAsia="仿宋_GB2312" w:cs="Times New Roman"/>
          <w:b w:val="0"/>
          <w:bCs w:val="0"/>
          <w:color w:val="auto"/>
          <w:sz w:val="32"/>
          <w:szCs w:val="32"/>
          <w:highlight w:val="none"/>
          <w:lang w:eastAsia="zh-CN"/>
        </w:rPr>
        <w:t>，展示</w:t>
      </w:r>
      <w:r>
        <w:rPr>
          <w:rFonts w:hint="eastAsia" w:ascii="Times New Roman" w:hAnsi="Times New Roman" w:eastAsia="仿宋_GB2312" w:cs="Times New Roman"/>
          <w:b w:val="0"/>
          <w:bCs w:val="0"/>
          <w:color w:val="auto"/>
          <w:kern w:val="2"/>
          <w:sz w:val="32"/>
          <w:szCs w:val="32"/>
          <w:highlight w:val="none"/>
          <w:lang w:val="en-US" w:eastAsia="zh-CN" w:bidi="ar-SA"/>
        </w:rPr>
        <w:t>优质</w:t>
      </w:r>
      <w:r>
        <w:rPr>
          <w:rFonts w:hint="default" w:ascii="Times New Roman" w:hAnsi="Times New Roman" w:eastAsia="仿宋_GB2312" w:cs="Times New Roman"/>
          <w:b w:val="0"/>
          <w:bCs w:val="0"/>
          <w:color w:val="auto"/>
          <w:kern w:val="2"/>
          <w:sz w:val="32"/>
          <w:szCs w:val="32"/>
          <w:highlight w:val="none"/>
          <w:lang w:val="en-US" w:eastAsia="zh-CN" w:bidi="ar-SA"/>
        </w:rPr>
        <w:t>知识产权服务主体培育行动</w:t>
      </w:r>
      <w:r>
        <w:rPr>
          <w:rFonts w:hint="eastAsia" w:ascii="Times New Roman" w:hAnsi="Times New Roman" w:eastAsia="仿宋_GB2312"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color w:val="auto"/>
          <w:sz w:val="32"/>
          <w:szCs w:val="32"/>
          <w:highlight w:val="none"/>
        </w:rPr>
        <w:t>知识产权信息</w:t>
      </w:r>
      <w:r>
        <w:rPr>
          <w:rFonts w:hint="default" w:ascii="Times New Roman" w:hAnsi="Times New Roman" w:eastAsia="仿宋_GB2312" w:cs="Times New Roman"/>
          <w:b w:val="0"/>
          <w:bCs w:val="0"/>
          <w:color w:val="auto"/>
          <w:sz w:val="32"/>
          <w:szCs w:val="32"/>
          <w:highlight w:val="none"/>
          <w:lang w:eastAsia="zh-CN"/>
        </w:rPr>
        <w:t>服务</w:t>
      </w:r>
      <w:r>
        <w:rPr>
          <w:rFonts w:hint="default" w:ascii="Times New Roman" w:hAnsi="Times New Roman" w:eastAsia="仿宋_GB2312" w:cs="Times New Roman"/>
          <w:b w:val="0"/>
          <w:bCs w:val="0"/>
          <w:color w:val="auto"/>
          <w:sz w:val="32"/>
          <w:szCs w:val="32"/>
          <w:highlight w:val="none"/>
        </w:rPr>
        <w:t>助企惠企</w:t>
      </w:r>
      <w:r>
        <w:rPr>
          <w:rFonts w:hint="default" w:ascii="Times New Roman" w:hAnsi="Times New Roman" w:eastAsia="仿宋_GB2312" w:cs="Times New Roman"/>
          <w:b w:val="0"/>
          <w:bCs w:val="0"/>
          <w:color w:val="auto"/>
          <w:sz w:val="32"/>
          <w:szCs w:val="32"/>
          <w:highlight w:val="none"/>
          <w:lang w:eastAsia="zh-CN"/>
        </w:rPr>
        <w:t>行动</w:t>
      </w:r>
      <w:r>
        <w:rPr>
          <w:rFonts w:hint="eastAsia" w:eastAsia="仿宋_GB2312" w:cs="Times New Roman"/>
          <w:b w:val="0"/>
          <w:bCs w:val="0"/>
          <w:color w:val="auto"/>
          <w:sz w:val="32"/>
          <w:szCs w:val="32"/>
          <w:highlight w:val="none"/>
          <w:lang w:eastAsia="zh-CN"/>
        </w:rPr>
        <w:t>开展情况</w:t>
      </w:r>
      <w:r>
        <w:rPr>
          <w:rFonts w:hint="default" w:ascii="Times New Roman" w:hAnsi="Times New Roman" w:eastAsia="仿宋_GB2312" w:cs="Times New Roman"/>
          <w:b w:val="0"/>
          <w:bCs w:val="0"/>
          <w:color w:val="auto"/>
          <w:kern w:val="0"/>
          <w:sz w:val="32"/>
          <w:szCs w:val="32"/>
          <w:highlight w:val="none"/>
          <w:lang w:val="en-US" w:eastAsia="zh-CN" w:bidi="ar"/>
        </w:rPr>
        <w:t>。</w:t>
      </w:r>
      <w:r>
        <w:rPr>
          <w:rFonts w:hint="eastAsia" w:ascii="仿宋_GB2312" w:hAnsi="仿宋" w:eastAsia="仿宋_GB2312" w:cs="仿宋"/>
          <w:color w:val="auto"/>
          <w:kern w:val="2"/>
          <w:sz w:val="32"/>
          <w:szCs w:val="32"/>
          <w:highlight w:val="none"/>
        </w:rPr>
        <w:t>（牵头部门：</w:t>
      </w:r>
      <w:r>
        <w:rPr>
          <w:rFonts w:hint="eastAsia" w:ascii="仿宋_GB2312" w:hAnsi="仿宋" w:eastAsia="仿宋_GB2312" w:cs="仿宋"/>
          <w:color w:val="auto"/>
          <w:kern w:val="2"/>
          <w:sz w:val="32"/>
          <w:szCs w:val="32"/>
          <w:highlight w:val="none"/>
          <w:lang w:eastAsia="zh-CN"/>
        </w:rPr>
        <w:t>公共服务处</w:t>
      </w:r>
      <w:r>
        <w:rPr>
          <w:rFonts w:hint="eastAsia" w:ascii="仿宋_GB2312" w:hAnsi="仿宋" w:eastAsia="仿宋_GB2312" w:cs="仿宋"/>
          <w:color w:val="auto"/>
          <w:kern w:val="2"/>
          <w:sz w:val="32"/>
          <w:szCs w:val="32"/>
          <w:highlight w:val="none"/>
        </w:rPr>
        <w:t>；配合部门：办公室</w:t>
      </w:r>
      <w:r>
        <w:rPr>
          <w:rFonts w:hint="eastAsia" w:ascii="仿宋_GB2312" w:hAnsi="仿宋" w:eastAsia="仿宋_GB2312" w:cs="仿宋"/>
          <w:color w:val="auto"/>
          <w:kern w:val="2"/>
          <w:sz w:val="32"/>
          <w:szCs w:val="32"/>
          <w:highlight w:val="none"/>
          <w:lang w:eastAsia="zh-CN"/>
        </w:rPr>
        <w:t>（宣传处</w:t>
      </w:r>
      <w:r>
        <w:rPr>
          <w:rFonts w:hint="eastAsia" w:ascii="仿宋_GB2312" w:hAnsi="仿宋" w:eastAsia="仿宋_GB2312" w:cs="仿宋"/>
          <w:color w:val="auto"/>
          <w:kern w:val="2"/>
          <w:sz w:val="32"/>
          <w:szCs w:val="32"/>
          <w:highlight w:val="none"/>
        </w:rPr>
        <w:t>）</w:t>
      </w:r>
      <w:r>
        <w:rPr>
          <w:rFonts w:hint="eastAsia" w:ascii="仿宋_GB2312" w:hAnsi="仿宋" w:eastAsia="仿宋_GB2312" w:cs="仿宋"/>
          <w:color w:val="auto"/>
          <w:kern w:val="2"/>
          <w:sz w:val="32"/>
          <w:szCs w:val="32"/>
          <w:highlight w:val="none"/>
          <w:lang w:eastAsia="zh-CN"/>
        </w:rPr>
        <w:t>）</w:t>
      </w: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 w:eastAsia="仿宋_GB2312" w:cs="仿宋"/>
          <w:color w:val="auto"/>
          <w:kern w:val="2"/>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5.围绕强化政府自身建设做好信息公开。</w:t>
      </w:r>
      <w:r>
        <w:rPr>
          <w:rFonts w:hint="eastAsia" w:ascii="仿宋_GB2312" w:hAnsi="仿宋_GB2312" w:eastAsia="仿宋_GB2312" w:cs="仿宋_GB2312"/>
          <w:b w:val="0"/>
          <w:bCs w:val="0"/>
          <w:color w:val="auto"/>
          <w:kern w:val="2"/>
          <w:sz w:val="32"/>
          <w:szCs w:val="32"/>
          <w:highlight w:val="none"/>
          <w:lang w:val="en-US" w:eastAsia="zh-CN" w:bidi="ar-SA"/>
        </w:rPr>
        <w:t>推进知识产权办理事项内容、时限、条件等信息公开。做好立法、执法、普法信息公开，及时公开知识产权法律服务等方面的便民利民举措。</w:t>
      </w:r>
      <w:r>
        <w:rPr>
          <w:rFonts w:hint="eastAsia" w:ascii="仿宋_GB2312" w:hAnsi="仿宋" w:eastAsia="仿宋_GB2312" w:cs="仿宋"/>
          <w:color w:val="auto"/>
          <w:kern w:val="2"/>
          <w:sz w:val="32"/>
          <w:szCs w:val="32"/>
          <w:highlight w:val="none"/>
          <w:lang w:eastAsia="zh-CN"/>
        </w:rPr>
        <w:t>及时发布我局年度重大行政决策目录。进一步加大财政预算公开力度，重点抓好部门预决算、推进绩效等财政公开。</w:t>
      </w:r>
      <w:r>
        <w:rPr>
          <w:rFonts w:hint="eastAsia" w:ascii="仿宋_GB2312" w:hAnsi="仿宋" w:eastAsia="仿宋_GB2312" w:cs="仿宋"/>
          <w:color w:val="auto"/>
          <w:kern w:val="2"/>
          <w:sz w:val="32"/>
          <w:szCs w:val="32"/>
          <w:highlight w:val="none"/>
        </w:rPr>
        <w:t>（牵头部门：办公室</w:t>
      </w:r>
      <w:r>
        <w:rPr>
          <w:rFonts w:hint="eastAsia" w:ascii="仿宋_GB2312" w:hAnsi="仿宋" w:eastAsia="仿宋_GB2312" w:cs="仿宋"/>
          <w:color w:val="auto"/>
          <w:kern w:val="2"/>
          <w:sz w:val="32"/>
          <w:szCs w:val="32"/>
          <w:highlight w:val="none"/>
          <w:lang w:eastAsia="zh-CN"/>
        </w:rPr>
        <w:t>（宣传处</w:t>
      </w:r>
      <w:r>
        <w:rPr>
          <w:rFonts w:hint="eastAsia" w:ascii="仿宋_GB2312" w:hAnsi="仿宋" w:eastAsia="仿宋_GB2312" w:cs="仿宋"/>
          <w:color w:val="auto"/>
          <w:kern w:val="2"/>
          <w:sz w:val="32"/>
          <w:szCs w:val="32"/>
          <w:highlight w:val="none"/>
        </w:rPr>
        <w:t>）；配合部门：</w:t>
      </w:r>
      <w:r>
        <w:rPr>
          <w:rFonts w:hint="eastAsia" w:ascii="仿宋_GB2312" w:hAnsi="仿宋" w:eastAsia="仿宋_GB2312" w:cs="仿宋"/>
          <w:color w:val="auto"/>
          <w:kern w:val="2"/>
          <w:sz w:val="32"/>
          <w:szCs w:val="32"/>
          <w:highlight w:val="none"/>
          <w:lang w:eastAsia="zh-CN"/>
        </w:rPr>
        <w:t>各部门）</w:t>
      </w:r>
    </w:p>
    <w:p>
      <w:pPr>
        <w:pStyle w:val="19"/>
        <w:keepNext w:val="0"/>
        <w:keepLines w:val="0"/>
        <w:pageBreakBefore w:val="0"/>
        <w:widowControl/>
        <w:numPr>
          <w:ilvl w:val="0"/>
          <w:numId w:val="0"/>
        </w:numPr>
        <w:suppressAutoHyphens/>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（二）巩固政务公开工作基础</w:t>
      </w: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 w:eastAsia="仿宋_GB2312" w:cs="仿宋"/>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1.推动公文集中规范公开。</w:t>
      </w:r>
      <w:r>
        <w:rPr>
          <w:rFonts w:hint="eastAsia" w:ascii="仿宋_GB2312" w:hAnsi="仿宋_GB2312" w:eastAsia="仿宋_GB2312" w:cs="仿宋_GB2312"/>
          <w:b w:val="0"/>
          <w:bCs w:val="0"/>
          <w:color w:val="auto"/>
          <w:kern w:val="2"/>
          <w:sz w:val="32"/>
          <w:szCs w:val="32"/>
          <w:highlight w:val="none"/>
          <w:lang w:val="en-US" w:eastAsia="zh-CN" w:bidi="ar-SA"/>
        </w:rPr>
        <w:t>按照全市统一的政策标签体系，对新增政策文件进行智能推荐，对存量政策文件进行自动化、智能化标注，提高政策标签的标注效率。在主动公开公文库基础上，加强入库公文要素的统一性、规范性，</w:t>
      </w:r>
      <w:r>
        <w:rPr>
          <w:rFonts w:hint="eastAsia" w:ascii="仿宋_GB2312" w:hAnsi="仿宋" w:eastAsia="仿宋_GB2312" w:cs="仿宋"/>
          <w:b w:val="0"/>
          <w:bCs w:val="0"/>
          <w:color w:val="auto"/>
          <w:kern w:val="2"/>
          <w:sz w:val="32"/>
          <w:szCs w:val="32"/>
          <w:highlight w:val="none"/>
        </w:rPr>
        <w:t>确保入库公文全量覆盖、要素齐全、格式规范、分类准确。</w:t>
      </w:r>
      <w:r>
        <w:rPr>
          <w:rFonts w:hint="eastAsia" w:ascii="仿宋_GB2312" w:hAnsi="仿宋" w:eastAsia="仿宋_GB2312" w:cs="仿宋"/>
          <w:b w:val="0"/>
          <w:bCs w:val="0"/>
          <w:color w:val="auto"/>
          <w:kern w:val="2"/>
          <w:sz w:val="32"/>
          <w:szCs w:val="32"/>
          <w:highlight w:val="none"/>
          <w:lang w:eastAsia="zh-CN"/>
        </w:rPr>
        <w:t>落实专人负责，定期将</w:t>
      </w:r>
      <w:r>
        <w:rPr>
          <w:rFonts w:hint="eastAsia" w:ascii="仿宋_GB2312" w:hAnsi="仿宋" w:eastAsia="仿宋_GB2312" w:cs="仿宋"/>
          <w:b w:val="0"/>
          <w:bCs w:val="0"/>
          <w:color w:val="auto"/>
          <w:kern w:val="2"/>
          <w:sz w:val="32"/>
          <w:szCs w:val="32"/>
          <w:highlight w:val="none"/>
          <w:lang w:val="en-US" w:eastAsia="zh-CN"/>
        </w:rPr>
        <w:t>协同办公平台</w:t>
      </w:r>
      <w:r>
        <w:rPr>
          <w:rFonts w:hint="eastAsia" w:ascii="仿宋_GB2312" w:hAnsi="仿宋" w:eastAsia="仿宋_GB2312" w:cs="仿宋"/>
          <w:b w:val="0"/>
          <w:bCs w:val="0"/>
          <w:color w:val="auto"/>
          <w:kern w:val="2"/>
          <w:sz w:val="32"/>
          <w:szCs w:val="32"/>
          <w:highlight w:val="none"/>
        </w:rPr>
        <w:t>系统中的公文和门户网站公文备案至政务公开工作平台，提升公文主动公开率。</w:t>
      </w:r>
      <w:r>
        <w:rPr>
          <w:rFonts w:hint="eastAsia" w:ascii="仿宋_GB2312" w:hAnsi="仿宋" w:eastAsia="仿宋_GB2312" w:cs="仿宋"/>
          <w:color w:val="auto"/>
          <w:kern w:val="2"/>
          <w:sz w:val="32"/>
          <w:szCs w:val="32"/>
          <w:highlight w:val="none"/>
        </w:rPr>
        <w:t>（牵头部门：办公室</w:t>
      </w:r>
      <w:r>
        <w:rPr>
          <w:rFonts w:hint="eastAsia" w:ascii="仿宋_GB2312" w:hAnsi="仿宋" w:eastAsia="仿宋_GB2312" w:cs="仿宋"/>
          <w:color w:val="auto"/>
          <w:kern w:val="2"/>
          <w:sz w:val="32"/>
          <w:szCs w:val="32"/>
          <w:highlight w:val="none"/>
          <w:lang w:eastAsia="zh-CN"/>
        </w:rPr>
        <w:t>（宣传处）；</w:t>
      </w:r>
      <w:r>
        <w:rPr>
          <w:rFonts w:hint="eastAsia" w:ascii="仿宋_GB2312" w:hAnsi="仿宋" w:eastAsia="仿宋_GB2312" w:cs="仿宋"/>
          <w:color w:val="auto"/>
          <w:kern w:val="2"/>
          <w:sz w:val="32"/>
          <w:szCs w:val="32"/>
          <w:highlight w:val="none"/>
        </w:rPr>
        <w:t>配合部门：各</w:t>
      </w:r>
      <w:r>
        <w:rPr>
          <w:rFonts w:hint="eastAsia" w:ascii="仿宋_GB2312" w:hAnsi="仿宋" w:eastAsia="仿宋_GB2312" w:cs="仿宋"/>
          <w:color w:val="auto"/>
          <w:kern w:val="2"/>
          <w:sz w:val="32"/>
          <w:szCs w:val="32"/>
          <w:highlight w:val="none"/>
          <w:lang w:eastAsia="zh-CN"/>
        </w:rPr>
        <w:t>部门</w:t>
      </w:r>
      <w:r>
        <w:rPr>
          <w:rFonts w:hint="eastAsia" w:ascii="仿宋_GB2312" w:hAnsi="仿宋" w:eastAsia="仿宋_GB2312" w:cs="仿宋"/>
          <w:color w:val="auto"/>
          <w:kern w:val="2"/>
          <w:sz w:val="32"/>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 w:eastAsia="仿宋_GB2312" w:cs="仿宋"/>
          <w:color w:val="auto"/>
          <w:kern w:val="2"/>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2.深化知识产权政策集成式发布成果。</w:t>
      </w:r>
      <w:r>
        <w:rPr>
          <w:rFonts w:hint="eastAsia" w:ascii="仿宋_GB2312" w:hAnsi="仿宋_GB2312" w:eastAsia="仿宋_GB2312" w:cs="仿宋_GB2312"/>
          <w:b w:val="0"/>
          <w:bCs w:val="0"/>
          <w:color w:val="auto"/>
          <w:kern w:val="2"/>
          <w:sz w:val="32"/>
          <w:szCs w:val="32"/>
          <w:highlight w:val="none"/>
          <w:lang w:val="en-US" w:eastAsia="zh-CN" w:bidi="ar-SA"/>
        </w:rPr>
        <w:t>继续做好上海知识产权存量政策和新增政策的集成式发布工作，加强现有集成主题的内容建设和效果管理，加大文件“应归尽归”工作力度。结合知识产权工作特色，打造针对性实用性强、服务面广的“政策服务包”。</w:t>
      </w:r>
      <w:r>
        <w:rPr>
          <w:rFonts w:hint="eastAsia" w:ascii="仿宋_GB2312" w:hAnsi="仿宋" w:eastAsia="仿宋_GB2312" w:cs="仿宋"/>
          <w:color w:val="auto"/>
          <w:kern w:val="2"/>
          <w:sz w:val="32"/>
          <w:szCs w:val="32"/>
          <w:highlight w:val="none"/>
          <w:lang w:eastAsia="zh-CN"/>
        </w:rPr>
        <w:t>完善知识产权“一件事”集成服务平台各项功能。</w:t>
      </w:r>
      <w:r>
        <w:rPr>
          <w:rFonts w:ascii="仿宋_GB2312" w:hAnsi="仿宋_GB2312" w:eastAsia="仿宋_GB2312" w:cs="仿宋_GB2312"/>
          <w:color w:val="000000"/>
          <w:kern w:val="0"/>
          <w:sz w:val="31"/>
          <w:szCs w:val="31"/>
          <w:highlight w:val="none"/>
          <w:lang w:val="en-US" w:eastAsia="zh-CN" w:bidi="ar"/>
        </w:rPr>
        <w:t>年内新增政策文件包含“一网通办”办事事项的，全面上线“阅办联动”功能。</w:t>
      </w:r>
      <w:r>
        <w:rPr>
          <w:rFonts w:hint="eastAsia" w:ascii="仿宋_GB2312" w:hAnsi="仿宋" w:eastAsia="仿宋_GB2312" w:cs="仿宋"/>
          <w:color w:val="auto"/>
          <w:kern w:val="2"/>
          <w:sz w:val="32"/>
          <w:szCs w:val="32"/>
          <w:highlight w:val="none"/>
          <w:lang w:eastAsia="zh-CN"/>
        </w:rPr>
        <w:t>（牵头部门：办公室（宣传处）；配合部门：各部门）</w:t>
      </w: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b/>
          <w:bCs/>
          <w:color w:val="auto"/>
          <w:kern w:val="2"/>
          <w:sz w:val="32"/>
          <w:szCs w:val="32"/>
          <w:highlight w:val="none"/>
          <w:lang w:val="en-US" w:eastAsia="zh-CN"/>
        </w:rPr>
        <w:t>3.</w:t>
      </w:r>
      <w:r>
        <w:rPr>
          <w:rFonts w:hint="eastAsia" w:ascii="仿宋_GB2312" w:hAnsi="仿宋_GB2312" w:eastAsia="仿宋_GB2312" w:cs="仿宋_GB2312"/>
          <w:b/>
          <w:bCs/>
          <w:color w:val="auto"/>
          <w:kern w:val="2"/>
          <w:sz w:val="32"/>
          <w:szCs w:val="32"/>
          <w:highlight w:val="none"/>
          <w:lang w:val="en-US" w:eastAsia="zh-CN" w:bidi="ar-SA"/>
        </w:rPr>
        <w:t>提升政府信息公开申请答复质效。</w:t>
      </w:r>
      <w:r>
        <w:rPr>
          <w:rFonts w:hint="eastAsia" w:ascii="仿宋_GB2312" w:hAnsi="仿宋" w:eastAsia="仿宋_GB2312" w:cs="仿宋"/>
          <w:color w:val="auto"/>
          <w:kern w:val="2"/>
          <w:sz w:val="32"/>
          <w:szCs w:val="32"/>
          <w:highlight w:val="none"/>
          <w:lang w:eastAsia="zh-CN"/>
        </w:rPr>
        <w:t>完善</w:t>
      </w:r>
      <w:r>
        <w:rPr>
          <w:rFonts w:hint="eastAsia" w:ascii="仿宋_GB2312" w:hAnsi="仿宋" w:eastAsia="仿宋_GB2312" w:cs="仿宋"/>
          <w:color w:val="auto"/>
          <w:kern w:val="2"/>
          <w:sz w:val="32"/>
          <w:szCs w:val="32"/>
          <w:highlight w:val="none"/>
        </w:rPr>
        <w:t>依申请公开转主动公开常态化审查机制，进一步规范政府信息公开申请的办理程序。主动跨前与申请人做好沟通，强化便民解答、指引和服务，有效、准确回应信息获取的相关需求，防范和化解依申请办理矛盾</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推动申请人</w:t>
      </w:r>
      <w:r>
        <w:rPr>
          <w:rFonts w:hint="eastAsia" w:ascii="仿宋_GB2312" w:hAnsi="仿宋" w:eastAsia="仿宋_GB2312" w:cs="仿宋"/>
          <w:color w:val="auto"/>
          <w:kern w:val="2"/>
          <w:sz w:val="32"/>
          <w:szCs w:val="32"/>
          <w:highlight w:val="none"/>
          <w:lang w:eastAsia="zh-CN"/>
        </w:rPr>
        <w:t>合理性</w:t>
      </w:r>
      <w:r>
        <w:rPr>
          <w:rFonts w:hint="eastAsia" w:ascii="仿宋_GB2312" w:hAnsi="仿宋" w:eastAsia="仿宋_GB2312" w:cs="仿宋"/>
          <w:color w:val="auto"/>
          <w:kern w:val="2"/>
          <w:sz w:val="32"/>
          <w:szCs w:val="32"/>
          <w:highlight w:val="none"/>
        </w:rPr>
        <w:t>诉求的实质性解决。（牵头部门：办公室</w:t>
      </w:r>
      <w:r>
        <w:rPr>
          <w:rFonts w:hint="eastAsia" w:ascii="仿宋_GB2312" w:hAnsi="仿宋" w:eastAsia="仿宋_GB2312" w:cs="仿宋"/>
          <w:color w:val="auto"/>
          <w:kern w:val="2"/>
          <w:sz w:val="32"/>
          <w:szCs w:val="32"/>
          <w:highlight w:val="none"/>
          <w:lang w:eastAsia="zh-CN"/>
        </w:rPr>
        <w:t>（宣传处）；配合部门：各部门</w:t>
      </w:r>
      <w:r>
        <w:rPr>
          <w:rFonts w:hint="eastAsia" w:ascii="仿宋_GB2312" w:hAnsi="仿宋" w:eastAsia="仿宋_GB2312" w:cs="仿宋"/>
          <w:color w:val="auto"/>
          <w:kern w:val="2"/>
          <w:sz w:val="32"/>
          <w:szCs w:val="32"/>
          <w:highlight w:val="none"/>
        </w:rPr>
        <w:t>）</w:t>
      </w:r>
    </w:p>
    <w:p>
      <w:pPr>
        <w:pStyle w:val="19"/>
        <w:keepNext w:val="0"/>
        <w:keepLines w:val="0"/>
        <w:pageBreakBefore w:val="0"/>
        <w:widowControl/>
        <w:numPr>
          <w:ilvl w:val="0"/>
          <w:numId w:val="0"/>
        </w:numPr>
        <w:suppressAutoHyphens/>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（三）强化政策全流程公开和政府开放</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 w:eastAsia="仿宋_GB2312" w:cs="仿宋"/>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1.推动政策全流程公开。</w:t>
      </w:r>
      <w:r>
        <w:rPr>
          <w:rFonts w:hint="eastAsia" w:ascii="仿宋_GB2312" w:hAnsi="仿宋_GB2312" w:eastAsia="仿宋_GB2312" w:cs="仿宋_GB2312"/>
          <w:b w:val="0"/>
          <w:bCs w:val="0"/>
          <w:color w:val="auto"/>
          <w:kern w:val="2"/>
          <w:sz w:val="32"/>
          <w:szCs w:val="32"/>
          <w:highlight w:val="none"/>
          <w:lang w:val="en-US" w:eastAsia="zh-CN" w:bidi="ar-SA"/>
        </w:rPr>
        <w:t>坚</w:t>
      </w:r>
      <w:r>
        <w:rPr>
          <w:rFonts w:hint="eastAsia" w:ascii="仿宋_GB2312" w:hAnsi="仿宋" w:eastAsia="仿宋_GB2312" w:cs="仿宋"/>
          <w:color w:val="auto"/>
          <w:kern w:val="2"/>
          <w:sz w:val="32"/>
          <w:szCs w:val="32"/>
          <w:highlight w:val="none"/>
          <w:lang w:val="en-US" w:eastAsia="zh-CN"/>
        </w:rPr>
        <w:t>持政策解读材料与政策文件同步起草、同步审签、同步发布“三同步”要求，将政策解读放到与政策制定同等重要位置，同步考虑、同步安排。健全政策全周期解读工作机制，加强政策发布阶段精细化解读，做好政策跟踪解读和热点回应。继续依托</w:t>
      </w:r>
      <w:r>
        <w:rPr>
          <w:rFonts w:hint="eastAsia" w:ascii="仿宋_GB2312" w:hAnsi="仿宋_GB2312" w:eastAsia="仿宋_GB2312" w:cs="仿宋_GB2312"/>
          <w:b w:val="0"/>
          <w:bCs w:val="0"/>
          <w:color w:val="auto"/>
          <w:kern w:val="2"/>
          <w:sz w:val="32"/>
          <w:szCs w:val="32"/>
          <w:highlight w:val="none"/>
          <w:lang w:val="en-US" w:eastAsia="zh-CN" w:bidi="ar-SA"/>
        </w:rPr>
        <w:t>“一网通办”企业专属空间、知识产权综合</w:t>
      </w:r>
      <w:r>
        <w:rPr>
          <w:rFonts w:ascii="仿宋_GB2312" w:hAnsi="仿宋_GB2312" w:eastAsia="仿宋_GB2312" w:cs="仿宋_GB2312"/>
          <w:color w:val="000000"/>
          <w:kern w:val="0"/>
          <w:sz w:val="31"/>
          <w:szCs w:val="31"/>
          <w:highlight w:val="none"/>
          <w:lang w:val="en-US" w:eastAsia="zh-CN" w:bidi="ar"/>
        </w:rPr>
        <w:t>服务窗口、行业协会、产业园区等渠道</w:t>
      </w:r>
      <w:r>
        <w:rPr>
          <w:rFonts w:hint="eastAsia" w:ascii="仿宋_GB2312" w:hAnsi="仿宋_GB2312" w:eastAsia="仿宋_GB2312" w:cs="仿宋_GB2312"/>
          <w:b w:val="0"/>
          <w:bCs w:val="0"/>
          <w:color w:val="auto"/>
          <w:kern w:val="2"/>
          <w:sz w:val="32"/>
          <w:szCs w:val="32"/>
          <w:highlight w:val="none"/>
          <w:lang w:val="en-US" w:eastAsia="zh-CN" w:bidi="ar-SA"/>
        </w:rPr>
        <w:t>开展政策精准推送，</w:t>
      </w:r>
      <w:r>
        <w:rPr>
          <w:rFonts w:hint="eastAsia" w:ascii="仿宋_GB2312" w:hAnsi="仿宋" w:eastAsia="仿宋_GB2312" w:cs="仿宋"/>
          <w:color w:val="auto"/>
          <w:kern w:val="2"/>
          <w:sz w:val="32"/>
          <w:szCs w:val="32"/>
          <w:highlight w:val="none"/>
          <w:lang w:eastAsia="zh-CN"/>
        </w:rPr>
        <w:t>扩大政策推送成效</w:t>
      </w:r>
      <w:r>
        <w:rPr>
          <w:rFonts w:hint="eastAsia" w:ascii="仿宋_GB2312" w:hAnsi="仿宋" w:eastAsia="仿宋_GB2312" w:cs="仿宋"/>
          <w:color w:val="auto"/>
          <w:kern w:val="2"/>
          <w:sz w:val="32"/>
          <w:szCs w:val="32"/>
          <w:highlight w:val="none"/>
        </w:rPr>
        <w:t>。（牵头部门：办公室</w:t>
      </w:r>
      <w:r>
        <w:rPr>
          <w:rFonts w:hint="eastAsia" w:ascii="仿宋_GB2312" w:hAnsi="仿宋" w:eastAsia="仿宋_GB2312" w:cs="仿宋"/>
          <w:color w:val="auto"/>
          <w:kern w:val="2"/>
          <w:sz w:val="32"/>
          <w:szCs w:val="32"/>
          <w:highlight w:val="none"/>
          <w:lang w:eastAsia="zh-CN"/>
        </w:rPr>
        <w:t>（宣传处）</w:t>
      </w:r>
      <w:r>
        <w:rPr>
          <w:rFonts w:hint="eastAsia" w:ascii="仿宋_GB2312" w:hAnsi="仿宋" w:eastAsia="仿宋_GB2312" w:cs="仿宋"/>
          <w:color w:val="auto"/>
          <w:kern w:val="2"/>
          <w:sz w:val="32"/>
          <w:szCs w:val="32"/>
          <w:highlight w:val="none"/>
        </w:rPr>
        <w:t>；配合部门：</w:t>
      </w:r>
      <w:r>
        <w:rPr>
          <w:rFonts w:hint="eastAsia" w:ascii="仿宋_GB2312" w:hAnsi="仿宋" w:eastAsia="仿宋_GB2312" w:cs="仿宋"/>
          <w:color w:val="auto"/>
          <w:kern w:val="2"/>
          <w:sz w:val="32"/>
          <w:szCs w:val="32"/>
          <w:highlight w:val="none"/>
          <w:lang w:val="en-US" w:eastAsia="zh-CN"/>
        </w:rPr>
        <w:t>各</w:t>
      </w:r>
      <w:r>
        <w:rPr>
          <w:rFonts w:hint="eastAsia" w:ascii="仿宋_GB2312" w:hAnsi="仿宋" w:eastAsia="仿宋_GB2312" w:cs="仿宋"/>
          <w:color w:val="auto"/>
          <w:kern w:val="2"/>
          <w:sz w:val="32"/>
          <w:szCs w:val="32"/>
          <w:highlight w:val="none"/>
          <w:lang w:eastAsia="zh-CN"/>
        </w:rPr>
        <w:t>部门</w:t>
      </w:r>
      <w:r>
        <w:rPr>
          <w:rFonts w:hint="eastAsia" w:ascii="仿宋_GB2312" w:hAnsi="仿宋" w:eastAsia="仿宋_GB2312" w:cs="仿宋"/>
          <w:color w:val="auto"/>
          <w:kern w:val="2"/>
          <w:sz w:val="32"/>
          <w:szCs w:val="32"/>
          <w:highlight w:val="none"/>
        </w:rPr>
        <w:t>）</w:t>
      </w: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_GB2312" w:hAnsi="仿宋" w:eastAsia="仿宋_GB2312" w:cs="仿宋"/>
          <w:color w:val="auto"/>
          <w:kern w:val="2"/>
          <w:sz w:val="32"/>
          <w:szCs w:val="32"/>
          <w:highlight w:val="none"/>
          <w:lang w:eastAsia="zh-CN"/>
        </w:rPr>
      </w:pPr>
      <w:r>
        <w:rPr>
          <w:rFonts w:hint="eastAsia" w:ascii="仿宋_GB2312" w:hAnsi="仿宋" w:eastAsia="仿宋_GB2312" w:cs="仿宋"/>
          <w:b/>
          <w:bCs/>
          <w:color w:val="auto"/>
          <w:kern w:val="2"/>
          <w:sz w:val="32"/>
          <w:szCs w:val="32"/>
          <w:highlight w:val="none"/>
          <w:lang w:val="en-US" w:eastAsia="zh-CN"/>
        </w:rPr>
        <w:t>2.</w:t>
      </w:r>
      <w:r>
        <w:rPr>
          <w:rFonts w:hint="eastAsia" w:ascii="仿宋_GB2312" w:hAnsi="仿宋" w:eastAsia="仿宋_GB2312" w:cs="仿宋"/>
          <w:b/>
          <w:bCs/>
          <w:color w:val="auto"/>
          <w:kern w:val="2"/>
          <w:sz w:val="32"/>
          <w:szCs w:val="32"/>
          <w:highlight w:val="none"/>
          <w:lang w:eastAsia="zh-CN"/>
        </w:rPr>
        <w:t>完善政策制定公众参与机制。</w:t>
      </w:r>
      <w:r>
        <w:rPr>
          <w:rFonts w:hint="eastAsia" w:ascii="仿宋_GB2312" w:hAnsi="仿宋" w:eastAsia="仿宋_GB2312" w:cs="仿宋"/>
          <w:color w:val="auto"/>
          <w:kern w:val="2"/>
          <w:sz w:val="32"/>
          <w:szCs w:val="32"/>
          <w:highlight w:val="none"/>
          <w:lang w:eastAsia="zh-CN"/>
        </w:rPr>
        <w:t>加强政策制定过程中的公众参与，继续邀请公众代表列席局长办公会，做好相关会议信息的主动公开。制定涉企政策时，重点听取相关企业和行业协会意见。加强对列席代表意见建议研究落实情况的跟踪督办，以适当形式向列席代表反馈会议决策情况和意见建议采纳情况。用好局网站、政务新媒体等方便公众知晓并参与的途径，向社会公开征询意见，提高决策科学性和执行有效性。</w:t>
      </w:r>
      <w:r>
        <w:rPr>
          <w:rFonts w:hint="eastAsia" w:ascii="仿宋_GB2312" w:hAnsi="仿宋" w:eastAsia="仿宋_GB2312" w:cs="仿宋"/>
          <w:color w:val="auto"/>
          <w:kern w:val="2"/>
          <w:sz w:val="32"/>
          <w:szCs w:val="32"/>
          <w:highlight w:val="none"/>
        </w:rPr>
        <w:t>（牵头部门：办公室</w:t>
      </w:r>
      <w:r>
        <w:rPr>
          <w:rFonts w:hint="eastAsia" w:ascii="仿宋_GB2312" w:hAnsi="仿宋" w:eastAsia="仿宋_GB2312" w:cs="仿宋"/>
          <w:color w:val="auto"/>
          <w:kern w:val="2"/>
          <w:sz w:val="32"/>
          <w:szCs w:val="32"/>
          <w:highlight w:val="none"/>
          <w:lang w:eastAsia="zh-CN"/>
        </w:rPr>
        <w:t>（宣传处），配合部门：各部门</w:t>
      </w:r>
      <w:r>
        <w:rPr>
          <w:rFonts w:hint="eastAsia" w:ascii="仿宋_GB2312" w:hAnsi="仿宋" w:eastAsia="仿宋_GB2312" w:cs="仿宋"/>
          <w:color w:val="auto"/>
          <w:kern w:val="2"/>
          <w:sz w:val="32"/>
          <w:szCs w:val="32"/>
          <w:highlight w:val="none"/>
        </w:rPr>
        <w:t>）</w:t>
      </w:r>
    </w:p>
    <w:p>
      <w:pPr>
        <w:pStyle w:val="19"/>
        <w:keepNext w:val="0"/>
        <w:keepLines w:val="0"/>
        <w:pageBreakBefore w:val="0"/>
        <w:widowControl/>
        <w:numPr>
          <w:ilvl w:val="0"/>
          <w:numId w:val="0"/>
        </w:numPr>
        <w:suppressAutoHyphens/>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3.常态化推进政府开放活动。</w:t>
      </w:r>
      <w:r>
        <w:rPr>
          <w:rFonts w:hint="eastAsia" w:ascii="仿宋_GB2312" w:hAnsi="仿宋_GB2312" w:eastAsia="仿宋_GB2312" w:cs="仿宋_GB2312"/>
          <w:b w:val="0"/>
          <w:bCs w:val="0"/>
          <w:color w:val="auto"/>
          <w:kern w:val="2"/>
          <w:sz w:val="32"/>
          <w:szCs w:val="32"/>
          <w:highlight w:val="none"/>
          <w:lang w:val="en-US" w:eastAsia="zh-CN" w:bidi="ar-SA"/>
        </w:rPr>
        <w:t>围绕局重点工作，做深做实</w:t>
      </w:r>
      <w:r>
        <w:rPr>
          <w:rFonts w:hint="eastAsia" w:ascii="仿宋_GB2312" w:hAnsi="仿宋" w:eastAsia="仿宋_GB2312" w:cs="仿宋"/>
          <w:b w:val="0"/>
          <w:bCs w:val="0"/>
          <w:color w:val="auto"/>
          <w:kern w:val="2"/>
          <w:sz w:val="32"/>
          <w:szCs w:val="32"/>
          <w:highlight w:val="none"/>
          <w:lang w:eastAsia="zh-CN"/>
        </w:rPr>
        <w:t>“</w:t>
      </w:r>
      <w:r>
        <w:rPr>
          <w:rFonts w:hint="eastAsia" w:ascii="仿宋_GB2312" w:hAnsi="仿宋" w:eastAsia="仿宋_GB2312" w:cs="仿宋"/>
          <w:color w:val="auto"/>
          <w:kern w:val="2"/>
          <w:sz w:val="32"/>
          <w:szCs w:val="32"/>
          <w:highlight w:val="none"/>
          <w:lang w:eastAsia="zh-CN"/>
        </w:rPr>
        <w:t>政府开放月”品牌。8月集中组织开展以知识产权便民惠企为主要内容的线上线下开放活动，活动期间安排答疑、座谈、活动体验、问卷调查等环节，加强与参与公众互动。持续开展上海知识产权</w:t>
      </w:r>
      <w:r>
        <w:rPr>
          <w:rFonts w:hint="eastAsia" w:ascii="仿宋_GB2312" w:hAnsi="仿宋" w:eastAsia="仿宋_GB2312" w:cs="仿宋"/>
          <w:color w:val="auto"/>
          <w:kern w:val="2"/>
          <w:sz w:val="32"/>
          <w:szCs w:val="32"/>
          <w:highlight w:val="none"/>
          <w:lang w:val="en-US" w:eastAsia="zh-CN"/>
        </w:rPr>
        <w:t>“媒体通气会”</w:t>
      </w:r>
      <w:r>
        <w:rPr>
          <w:rFonts w:hint="eastAsia" w:ascii="仿宋_GB2312" w:hAnsi="仿宋" w:eastAsia="仿宋_GB2312" w:cs="仿宋"/>
          <w:color w:val="auto"/>
          <w:kern w:val="2"/>
          <w:sz w:val="32"/>
          <w:szCs w:val="32"/>
          <w:highlight w:val="none"/>
          <w:lang w:eastAsia="zh-CN"/>
        </w:rPr>
        <w:t>“政策会客厅”等特色活动，围绕创新主体广泛关注的领域，推动政府开放活动常态化，提升开放活动社会效果。</w:t>
      </w:r>
      <w:r>
        <w:rPr>
          <w:rFonts w:hint="eastAsia" w:ascii="仿宋_GB2312" w:hAnsi="仿宋" w:eastAsia="仿宋_GB2312" w:cs="仿宋"/>
          <w:color w:val="auto"/>
          <w:kern w:val="2"/>
          <w:sz w:val="32"/>
          <w:szCs w:val="32"/>
          <w:highlight w:val="none"/>
          <w:lang w:val="en-US" w:eastAsia="zh-CN"/>
        </w:rPr>
        <w:t>（牵头部门：办公室（宣传处）；配合部门：各部门）</w:t>
      </w: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ind w:firstLine="320" w:firstLineChars="1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仿宋_GB2312" w:hAnsi="仿宋" w:eastAsia="仿宋_GB2312" w:cs="仿宋"/>
          <w:color w:val="auto"/>
          <w:kern w:val="2"/>
          <w:sz w:val="32"/>
          <w:szCs w:val="32"/>
        </w:rPr>
        <w:t> </w:t>
      </w:r>
      <w:r>
        <w:rPr>
          <w:rFonts w:hint="eastAsia" w:ascii="方正楷体_GBK" w:hAnsi="方正楷体_GBK" w:eastAsia="方正楷体_GBK" w:cs="方正楷体_GBK"/>
          <w:b w:val="0"/>
          <w:bCs w:val="0"/>
          <w:color w:val="auto"/>
          <w:kern w:val="2"/>
          <w:sz w:val="32"/>
          <w:szCs w:val="32"/>
          <w:lang w:val="en-US" w:eastAsia="zh-CN" w:bidi="ar-SA"/>
        </w:rPr>
        <w:t>（四）推进政务公开标准化、制度化、规范化建设</w:t>
      </w: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 w:eastAsia="仿宋_GB2312" w:cs="仿宋"/>
          <w:color w:val="auto"/>
          <w:kern w:val="2"/>
          <w:sz w:val="32"/>
          <w:szCs w:val="32"/>
          <w:highlight w:val="none"/>
        </w:rPr>
      </w:pPr>
      <w:r>
        <w:rPr>
          <w:rFonts w:hint="eastAsia" w:ascii="黑体" w:hAnsi="黑体" w:eastAsia="黑体" w:cs="Times New Roman"/>
          <w:color w:val="auto"/>
          <w:sz w:val="32"/>
          <w:szCs w:val="30"/>
          <w:highlight w:val="none"/>
        </w:rPr>
        <w:t> </w:t>
      </w:r>
      <w:r>
        <w:rPr>
          <w:rFonts w:hint="eastAsia" w:ascii="仿宋_GB2312" w:hAnsi="仿宋_GB2312" w:eastAsia="仿宋_GB2312" w:cs="仿宋_GB2312"/>
          <w:b/>
          <w:bCs/>
          <w:color w:val="auto"/>
          <w:kern w:val="2"/>
          <w:sz w:val="32"/>
          <w:szCs w:val="32"/>
          <w:highlight w:val="none"/>
          <w:lang w:val="en-US" w:eastAsia="zh-CN" w:bidi="ar-SA"/>
        </w:rPr>
        <w:t xml:space="preserve">  1.加强政务公开平台建设。</w:t>
      </w:r>
      <w:r>
        <w:rPr>
          <w:rFonts w:hint="eastAsia" w:ascii="仿宋_GB2312" w:hAnsi="仿宋" w:eastAsia="仿宋_GB2312" w:cs="仿宋"/>
          <w:color w:val="auto"/>
          <w:kern w:val="2"/>
          <w:sz w:val="32"/>
          <w:szCs w:val="32"/>
          <w:highlight w:val="none"/>
          <w:lang w:val="en-US" w:eastAsia="zh-CN"/>
        </w:rPr>
        <w:t>严格</w:t>
      </w:r>
      <w:r>
        <w:rPr>
          <w:rFonts w:hint="eastAsia" w:ascii="仿宋_GB2312" w:hAnsi="仿宋" w:eastAsia="仿宋_GB2312" w:cs="仿宋"/>
          <w:color w:val="auto"/>
          <w:kern w:val="2"/>
          <w:sz w:val="32"/>
          <w:szCs w:val="32"/>
          <w:highlight w:val="none"/>
          <w:lang w:eastAsia="zh-CN"/>
        </w:rPr>
        <w:t>落实网络意识形态责任制，完善信息平台安全防护和应急保障制度，定期开展日常巡查，确保局网站和各类政务新媒体安全平稳运行。理顺信息发布机制，做好局网站各信息公开栏目的内容维护，</w:t>
      </w:r>
      <w:r>
        <w:rPr>
          <w:rFonts w:hint="eastAsia" w:ascii="仿宋_GB2312" w:hAnsi="仿宋" w:eastAsia="仿宋_GB2312" w:cs="仿宋"/>
          <w:color w:val="auto"/>
          <w:kern w:val="2"/>
          <w:sz w:val="32"/>
          <w:szCs w:val="32"/>
          <w:highlight w:val="none"/>
        </w:rPr>
        <w:t>杜绝错链、断链</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确保数据同源。动态调整政府信息公开指南，按时发布政府信息公开年报和解读。</w:t>
      </w:r>
      <w:r>
        <w:rPr>
          <w:rFonts w:hint="eastAsia" w:ascii="仿宋_GB2312" w:hAnsi="仿宋" w:eastAsia="仿宋_GB2312" w:cs="仿宋"/>
          <w:color w:val="auto"/>
          <w:kern w:val="2"/>
          <w:sz w:val="32"/>
          <w:szCs w:val="32"/>
          <w:highlight w:val="none"/>
          <w:lang w:eastAsia="zh-CN"/>
        </w:rPr>
        <w:t>加强</w:t>
      </w:r>
      <w:r>
        <w:rPr>
          <w:rFonts w:hint="eastAsia" w:ascii="仿宋_GB2312" w:hAnsi="仿宋" w:eastAsia="仿宋_GB2312" w:cs="仿宋"/>
          <w:color w:val="auto"/>
          <w:kern w:val="2"/>
          <w:sz w:val="32"/>
          <w:szCs w:val="32"/>
          <w:highlight w:val="none"/>
        </w:rPr>
        <w:t>网站普查全面性和科学性</w:t>
      </w:r>
      <w:r>
        <w:rPr>
          <w:rFonts w:hint="eastAsia" w:ascii="仿宋_GB2312" w:hAnsi="仿宋" w:eastAsia="仿宋_GB2312" w:cs="仿宋"/>
          <w:color w:val="auto"/>
          <w:kern w:val="2"/>
          <w:sz w:val="32"/>
          <w:szCs w:val="32"/>
          <w:highlight w:val="none"/>
          <w:lang w:eastAsia="zh-CN"/>
        </w:rPr>
        <w:t>，提升公众获取信息便利性</w:t>
      </w:r>
      <w:r>
        <w:rPr>
          <w:rFonts w:hint="eastAsia" w:ascii="仿宋_GB2312" w:hAnsi="仿宋" w:eastAsia="仿宋_GB2312" w:cs="仿宋"/>
          <w:color w:val="auto"/>
          <w:kern w:val="2"/>
          <w:sz w:val="32"/>
          <w:szCs w:val="32"/>
          <w:highlight w:val="none"/>
        </w:rPr>
        <w:t>。</w:t>
      </w:r>
      <w:r>
        <w:rPr>
          <w:rFonts w:hint="eastAsia" w:ascii="仿宋_GB2312" w:hAnsi="仿宋" w:eastAsia="仿宋_GB2312" w:cs="仿宋"/>
          <w:color w:val="auto"/>
          <w:kern w:val="2"/>
          <w:sz w:val="32"/>
          <w:szCs w:val="32"/>
          <w:highlight w:val="none"/>
          <w:lang w:eastAsia="zh-CN"/>
        </w:rPr>
        <w:t>利用上海国际服务门户和局英文网站，丰富涉外知识产权政策信息的外文版供给，增强互动性。</w:t>
      </w:r>
      <w:r>
        <w:rPr>
          <w:rFonts w:hint="eastAsia" w:ascii="仿宋_GB2312" w:hAnsi="仿宋" w:eastAsia="仿宋_GB2312" w:cs="仿宋"/>
          <w:color w:val="auto"/>
          <w:kern w:val="2"/>
          <w:sz w:val="32"/>
          <w:szCs w:val="32"/>
          <w:highlight w:val="none"/>
        </w:rPr>
        <w:t>（牵头部门：办公室</w:t>
      </w:r>
      <w:r>
        <w:rPr>
          <w:rFonts w:hint="eastAsia" w:ascii="仿宋_GB2312" w:hAnsi="仿宋" w:eastAsia="仿宋_GB2312" w:cs="仿宋"/>
          <w:color w:val="auto"/>
          <w:kern w:val="2"/>
          <w:sz w:val="32"/>
          <w:szCs w:val="32"/>
          <w:highlight w:val="none"/>
          <w:lang w:eastAsia="zh-CN"/>
        </w:rPr>
        <w:t>（宣传处）；配合部门：国际合作交流处</w:t>
      </w:r>
      <w:r>
        <w:rPr>
          <w:rFonts w:hint="eastAsia" w:ascii="仿宋_GB2312" w:hAnsi="仿宋" w:eastAsia="仿宋_GB2312" w:cs="仿宋"/>
          <w:color w:val="auto"/>
          <w:kern w:val="2"/>
          <w:sz w:val="32"/>
          <w:szCs w:val="32"/>
          <w:highlight w:val="none"/>
        </w:rPr>
        <w:t>）</w:t>
      </w: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ind w:firstLine="321" w:firstLineChars="100"/>
        <w:jc w:val="both"/>
        <w:textAlignment w:val="auto"/>
        <w:rPr>
          <w:rFonts w:hint="eastAsia" w:ascii="仿宋_GB2312" w:hAnsi="仿宋" w:eastAsia="仿宋_GB2312" w:cs="仿宋"/>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 2.更好统筹政务公开和安全保密。</w:t>
      </w:r>
      <w:r>
        <w:rPr>
          <w:rFonts w:hint="eastAsia" w:ascii="仿宋_GB2312" w:hAnsi="仿宋" w:eastAsia="仿宋_GB2312" w:cs="仿宋"/>
          <w:color w:val="auto"/>
          <w:kern w:val="2"/>
          <w:sz w:val="32"/>
          <w:szCs w:val="32"/>
          <w:highlight w:val="none"/>
        </w:rPr>
        <w:t>健全完善</w:t>
      </w:r>
      <w:r>
        <w:rPr>
          <w:rFonts w:hint="eastAsia" w:ascii="仿宋_GB2312" w:hAnsi="仿宋" w:eastAsia="仿宋_GB2312" w:cs="仿宋"/>
          <w:color w:val="auto"/>
          <w:kern w:val="2"/>
          <w:sz w:val="32"/>
          <w:szCs w:val="32"/>
          <w:highlight w:val="none"/>
          <w:lang w:eastAsia="zh-CN"/>
        </w:rPr>
        <w:t>主动公开事项目录，实行清单化管理，做到法定公开事项主动公开到位。完善公文公开属性的认定流程，</w:t>
      </w:r>
      <w:r>
        <w:rPr>
          <w:rFonts w:hint="eastAsia" w:ascii="仿宋_GB2312" w:hAnsi="仿宋" w:eastAsia="仿宋_GB2312" w:cs="仿宋"/>
          <w:color w:val="auto"/>
          <w:kern w:val="2"/>
          <w:sz w:val="32"/>
          <w:szCs w:val="32"/>
          <w:highlight w:val="none"/>
        </w:rPr>
        <w:t>坚持“先审查、后公开”和“一事一审”的原则</w:t>
      </w:r>
      <w:r>
        <w:rPr>
          <w:rFonts w:hint="eastAsia" w:ascii="仿宋_GB2312" w:hAnsi="仿宋" w:eastAsia="仿宋_GB2312" w:cs="仿宋"/>
          <w:color w:val="auto"/>
          <w:kern w:val="2"/>
          <w:sz w:val="32"/>
          <w:szCs w:val="32"/>
          <w:highlight w:val="none"/>
          <w:lang w:eastAsia="zh-CN"/>
        </w:rPr>
        <w:t>。依法对拟公开的信息进行保密审查，防止泄露国家秘密、工作秘密和敏感信息，防范数据汇聚引发泄密风险。严格执行公文信息发布审查程序，</w:t>
      </w:r>
      <w:r>
        <w:rPr>
          <w:rFonts w:hint="eastAsia" w:ascii="仿宋_GB2312" w:hAnsi="仿宋" w:eastAsia="仿宋_GB2312" w:cs="仿宋"/>
          <w:color w:val="auto"/>
          <w:kern w:val="2"/>
          <w:sz w:val="32"/>
          <w:szCs w:val="32"/>
          <w:highlight w:val="none"/>
        </w:rPr>
        <w:t>科学合理确定</w:t>
      </w:r>
      <w:r>
        <w:rPr>
          <w:rFonts w:hint="eastAsia" w:ascii="仿宋_GB2312" w:hAnsi="仿宋" w:eastAsia="仿宋_GB2312" w:cs="仿宋"/>
          <w:color w:val="auto"/>
          <w:kern w:val="2"/>
          <w:sz w:val="32"/>
          <w:szCs w:val="32"/>
          <w:highlight w:val="none"/>
          <w:lang w:eastAsia="zh-CN"/>
        </w:rPr>
        <w:t>发布</w:t>
      </w:r>
      <w:r>
        <w:rPr>
          <w:rFonts w:hint="eastAsia" w:ascii="仿宋_GB2312" w:hAnsi="仿宋" w:eastAsia="仿宋_GB2312" w:cs="仿宋"/>
          <w:color w:val="auto"/>
          <w:kern w:val="2"/>
          <w:sz w:val="32"/>
          <w:szCs w:val="32"/>
          <w:highlight w:val="none"/>
        </w:rPr>
        <w:t>方式，对公开内容仅涉及特定对象的,</w:t>
      </w:r>
      <w:r>
        <w:rPr>
          <w:rFonts w:hint="eastAsia" w:ascii="仿宋_GB2312" w:hAnsi="仿宋" w:eastAsia="仿宋_GB2312" w:cs="仿宋"/>
          <w:color w:val="auto"/>
          <w:kern w:val="2"/>
          <w:sz w:val="32"/>
          <w:szCs w:val="32"/>
          <w:highlight w:val="none"/>
          <w:lang w:eastAsia="zh-CN"/>
        </w:rPr>
        <w:t>实行</w:t>
      </w:r>
      <w:r>
        <w:rPr>
          <w:rFonts w:hint="eastAsia" w:ascii="仿宋_GB2312" w:hAnsi="仿宋" w:eastAsia="仿宋_GB2312" w:cs="仿宋"/>
          <w:color w:val="auto"/>
          <w:kern w:val="2"/>
          <w:sz w:val="32"/>
          <w:szCs w:val="32"/>
          <w:highlight w:val="none"/>
        </w:rPr>
        <w:t>定点、定向公开。</w:t>
      </w:r>
      <w:r>
        <w:rPr>
          <w:rFonts w:hint="eastAsia" w:ascii="仿宋_GB2312" w:hAnsi="仿宋" w:eastAsia="仿宋_GB2312" w:cs="仿宋"/>
          <w:color w:val="auto"/>
          <w:kern w:val="2"/>
          <w:sz w:val="32"/>
          <w:szCs w:val="32"/>
          <w:highlight w:val="none"/>
          <w:lang w:eastAsia="zh-CN"/>
        </w:rPr>
        <w:t>把握好政策发布的时度效，合理引导社会和市场预期。</w:t>
      </w:r>
      <w:r>
        <w:rPr>
          <w:rFonts w:hint="eastAsia" w:ascii="仿宋_GB2312" w:hAnsi="仿宋" w:eastAsia="仿宋_GB2312" w:cs="仿宋"/>
          <w:color w:val="auto"/>
          <w:kern w:val="2"/>
          <w:sz w:val="32"/>
          <w:szCs w:val="32"/>
          <w:highlight w:val="none"/>
        </w:rPr>
        <w:t>（牵头部门：办公室</w:t>
      </w:r>
      <w:r>
        <w:rPr>
          <w:rFonts w:hint="eastAsia" w:ascii="仿宋_GB2312" w:hAnsi="仿宋" w:eastAsia="仿宋_GB2312" w:cs="仿宋"/>
          <w:color w:val="auto"/>
          <w:kern w:val="2"/>
          <w:sz w:val="32"/>
          <w:szCs w:val="32"/>
          <w:highlight w:val="none"/>
          <w:lang w:eastAsia="zh-CN"/>
        </w:rPr>
        <w:t>（宣传处）</w:t>
      </w:r>
      <w:r>
        <w:rPr>
          <w:rFonts w:hint="eastAsia" w:ascii="仿宋_GB2312" w:hAnsi="仿宋" w:eastAsia="仿宋_GB2312" w:cs="仿宋"/>
          <w:color w:val="auto"/>
          <w:kern w:val="2"/>
          <w:sz w:val="32"/>
          <w:szCs w:val="32"/>
          <w:highlight w:val="none"/>
        </w:rPr>
        <w:t>；配合部门：</w:t>
      </w:r>
      <w:r>
        <w:rPr>
          <w:rFonts w:hint="eastAsia" w:ascii="仿宋_GB2312" w:hAnsi="仿宋" w:eastAsia="仿宋_GB2312" w:cs="仿宋"/>
          <w:color w:val="auto"/>
          <w:kern w:val="2"/>
          <w:sz w:val="32"/>
          <w:szCs w:val="32"/>
          <w:highlight w:val="none"/>
          <w:lang w:val="en-US" w:eastAsia="zh-CN"/>
        </w:rPr>
        <w:t>各部门</w:t>
      </w:r>
      <w:r>
        <w:rPr>
          <w:rFonts w:hint="eastAsia" w:ascii="仿宋_GB2312" w:hAnsi="仿宋" w:eastAsia="仿宋_GB2312" w:cs="仿宋"/>
          <w:color w:val="auto"/>
          <w:kern w:val="2"/>
          <w:sz w:val="32"/>
          <w:szCs w:val="32"/>
          <w:highlight w:val="none"/>
        </w:rPr>
        <w:t>）</w:t>
      </w: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 </w:t>
      </w:r>
      <w:r>
        <w:rPr>
          <w:rFonts w:hint="eastAsia" w:ascii="仿宋_GB2312" w:hAnsi="仿宋_GB2312" w:eastAsia="仿宋_GB2312" w:cs="仿宋_GB2312"/>
          <w:b/>
          <w:bCs/>
          <w:color w:val="auto"/>
          <w:kern w:val="2"/>
          <w:sz w:val="32"/>
          <w:szCs w:val="32"/>
          <w:highlight w:val="none"/>
          <w:lang w:val="en-US" w:eastAsia="zh-CN" w:bidi="ar-SA"/>
        </w:rPr>
        <w:t> 3.强化留言办理服务。</w:t>
      </w:r>
      <w:r>
        <w:rPr>
          <w:rFonts w:hint="eastAsia" w:ascii="仿宋_GB2312" w:hAnsi="仿宋" w:eastAsia="仿宋_GB2312" w:cs="仿宋"/>
          <w:color w:val="auto"/>
          <w:kern w:val="2"/>
          <w:sz w:val="32"/>
          <w:szCs w:val="32"/>
          <w:highlight w:val="none"/>
        </w:rPr>
        <w:t>加强对</w:t>
      </w:r>
      <w:r>
        <w:rPr>
          <w:rFonts w:hint="eastAsia" w:ascii="仿宋_GB2312" w:hAnsi="仿宋" w:eastAsia="仿宋_GB2312" w:cs="仿宋"/>
          <w:color w:val="auto"/>
          <w:kern w:val="2"/>
          <w:sz w:val="32"/>
          <w:szCs w:val="32"/>
          <w:highlight w:val="none"/>
          <w:lang w:eastAsia="zh-CN"/>
        </w:rPr>
        <w:t>政策发布页面</w:t>
      </w:r>
      <w:r>
        <w:rPr>
          <w:rFonts w:hint="eastAsia" w:ascii="仿宋_GB2312" w:hAnsi="仿宋" w:eastAsia="仿宋_GB2312" w:cs="仿宋"/>
          <w:color w:val="auto"/>
          <w:kern w:val="2"/>
          <w:sz w:val="32"/>
          <w:szCs w:val="32"/>
          <w:highlight w:val="none"/>
        </w:rPr>
        <w:t>留言板的动态维护，压实承办</w:t>
      </w:r>
      <w:r>
        <w:rPr>
          <w:rFonts w:hint="eastAsia" w:ascii="仿宋_GB2312" w:hAnsi="仿宋" w:eastAsia="仿宋_GB2312" w:cs="仿宋"/>
          <w:color w:val="auto"/>
          <w:kern w:val="2"/>
          <w:sz w:val="32"/>
          <w:szCs w:val="32"/>
          <w:highlight w:val="none"/>
          <w:lang w:eastAsia="zh-CN"/>
        </w:rPr>
        <w:t>部门</w:t>
      </w:r>
      <w:r>
        <w:rPr>
          <w:rFonts w:hint="eastAsia" w:ascii="仿宋_GB2312" w:hAnsi="仿宋" w:eastAsia="仿宋_GB2312" w:cs="仿宋"/>
          <w:color w:val="auto"/>
          <w:kern w:val="2"/>
          <w:sz w:val="32"/>
          <w:szCs w:val="32"/>
          <w:highlight w:val="none"/>
        </w:rPr>
        <w:t>责任，严格落实办理时限，确保</w:t>
      </w:r>
      <w:r>
        <w:rPr>
          <w:rFonts w:hint="eastAsia" w:ascii="仿宋_GB2312" w:hAnsi="仿宋" w:eastAsia="仿宋_GB2312" w:cs="仿宋"/>
          <w:color w:val="auto"/>
          <w:kern w:val="2"/>
          <w:sz w:val="32"/>
          <w:szCs w:val="32"/>
          <w:highlight w:val="none"/>
          <w:lang w:eastAsia="zh-CN"/>
        </w:rPr>
        <w:t>答复</w:t>
      </w:r>
      <w:r>
        <w:rPr>
          <w:rFonts w:hint="eastAsia" w:ascii="仿宋_GB2312" w:hAnsi="仿宋" w:eastAsia="仿宋_GB2312" w:cs="仿宋"/>
          <w:color w:val="auto"/>
          <w:kern w:val="2"/>
          <w:sz w:val="32"/>
          <w:szCs w:val="32"/>
          <w:highlight w:val="none"/>
        </w:rPr>
        <w:t>质量。</w:t>
      </w:r>
      <w:r>
        <w:rPr>
          <w:rFonts w:hint="eastAsia" w:ascii="仿宋_GB2312" w:hAnsi="仿宋" w:eastAsia="仿宋_GB2312" w:cs="仿宋"/>
          <w:color w:val="auto"/>
          <w:kern w:val="2"/>
          <w:sz w:val="32"/>
          <w:szCs w:val="32"/>
          <w:highlight w:val="none"/>
          <w:lang w:eastAsia="zh-CN"/>
        </w:rPr>
        <w:t>全面落实国家和本市关于办理中国政府网转办留言工作的各项要求，</w:t>
      </w:r>
      <w:r>
        <w:rPr>
          <w:rFonts w:hint="eastAsia" w:ascii="仿宋_GB2312" w:hAnsi="仿宋" w:eastAsia="仿宋_GB2312" w:cs="仿宋"/>
          <w:color w:val="auto"/>
          <w:kern w:val="2"/>
          <w:sz w:val="32"/>
          <w:szCs w:val="32"/>
          <w:highlight w:val="none"/>
        </w:rPr>
        <w:t>强化留言办理结果应用，对留言办理中发现的共性问题， 加强</w:t>
      </w:r>
      <w:r>
        <w:rPr>
          <w:rFonts w:hint="eastAsia" w:ascii="仿宋_GB2312" w:hAnsi="仿宋" w:eastAsia="仿宋_GB2312" w:cs="仿宋"/>
          <w:color w:val="auto"/>
          <w:kern w:val="2"/>
          <w:sz w:val="32"/>
          <w:szCs w:val="32"/>
          <w:highlight w:val="none"/>
          <w:lang w:eastAsia="zh-CN"/>
        </w:rPr>
        <w:t>源头管理和综合研判</w:t>
      </w:r>
      <w:r>
        <w:rPr>
          <w:rFonts w:hint="eastAsia" w:ascii="仿宋_GB2312" w:hAnsi="仿宋" w:eastAsia="仿宋_GB2312" w:cs="仿宋"/>
          <w:color w:val="auto"/>
          <w:kern w:val="2"/>
          <w:sz w:val="32"/>
          <w:szCs w:val="32"/>
          <w:highlight w:val="none"/>
        </w:rPr>
        <w:t>，实现“解决一件、带动一片”。（牵头部门：办公室</w:t>
      </w:r>
      <w:r>
        <w:rPr>
          <w:rFonts w:hint="eastAsia" w:ascii="仿宋_GB2312" w:hAnsi="仿宋" w:eastAsia="仿宋_GB2312" w:cs="仿宋"/>
          <w:color w:val="auto"/>
          <w:kern w:val="2"/>
          <w:sz w:val="32"/>
          <w:szCs w:val="32"/>
          <w:highlight w:val="none"/>
          <w:lang w:eastAsia="zh-CN"/>
        </w:rPr>
        <w:t>（宣传处）；</w:t>
      </w:r>
      <w:r>
        <w:rPr>
          <w:rFonts w:hint="eastAsia" w:ascii="仿宋_GB2312" w:hAnsi="仿宋" w:eastAsia="仿宋_GB2312" w:cs="仿宋"/>
          <w:color w:val="auto"/>
          <w:kern w:val="2"/>
          <w:sz w:val="32"/>
          <w:szCs w:val="32"/>
          <w:highlight w:val="none"/>
        </w:rPr>
        <w:t>配合部门：各</w:t>
      </w:r>
      <w:r>
        <w:rPr>
          <w:rFonts w:hint="eastAsia" w:ascii="仿宋_GB2312" w:hAnsi="仿宋" w:eastAsia="仿宋_GB2312" w:cs="仿宋"/>
          <w:color w:val="auto"/>
          <w:kern w:val="2"/>
          <w:sz w:val="32"/>
          <w:szCs w:val="32"/>
          <w:highlight w:val="none"/>
          <w:lang w:eastAsia="zh-CN"/>
        </w:rPr>
        <w:t>部门</w:t>
      </w:r>
      <w:r>
        <w:rPr>
          <w:rFonts w:hint="eastAsia" w:ascii="仿宋_GB2312" w:hAnsi="仿宋" w:eastAsia="仿宋_GB2312" w:cs="仿宋"/>
          <w:color w:val="auto"/>
          <w:kern w:val="2"/>
          <w:sz w:val="32"/>
          <w:szCs w:val="32"/>
          <w:highlight w:val="none"/>
        </w:rPr>
        <w:t>）</w:t>
      </w: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Times New Roman"/>
          <w:color w:val="auto"/>
          <w:sz w:val="32"/>
          <w:szCs w:val="30"/>
          <w:highlight w:val="none"/>
        </w:rPr>
      </w:pPr>
      <w:r>
        <w:rPr>
          <w:rFonts w:hint="eastAsia" w:ascii="仿宋_GB2312" w:hAnsi="仿宋" w:eastAsia="仿宋_GB2312" w:cs="仿宋"/>
          <w:color w:val="auto"/>
          <w:kern w:val="2"/>
          <w:sz w:val="32"/>
          <w:szCs w:val="32"/>
          <w:highlight w:val="none"/>
        </w:rPr>
        <w:t>  </w:t>
      </w:r>
      <w:r>
        <w:rPr>
          <w:rFonts w:hint="eastAsia" w:ascii="方正黑体_GBK" w:hAnsi="方正黑体_GBK" w:eastAsia="方正黑体_GBK" w:cs="方正黑体_GBK"/>
          <w:color w:val="auto"/>
          <w:kern w:val="2"/>
          <w:sz w:val="32"/>
          <w:szCs w:val="32"/>
          <w:highlight w:val="none"/>
          <w:lang w:eastAsia="zh-CN"/>
        </w:rPr>
        <w:t>三</w:t>
      </w:r>
      <w:r>
        <w:rPr>
          <w:rFonts w:hint="eastAsia" w:ascii="方正黑体_GBK" w:hAnsi="方正黑体_GBK" w:eastAsia="方正黑体_GBK" w:cs="方正黑体_GBK"/>
          <w:color w:val="auto"/>
          <w:sz w:val="32"/>
          <w:szCs w:val="30"/>
          <w:highlight w:val="none"/>
        </w:rPr>
        <w:t>、</w:t>
      </w:r>
      <w:r>
        <w:rPr>
          <w:rFonts w:hint="eastAsia" w:ascii="黑体" w:hAnsi="黑体" w:eastAsia="黑体" w:cs="Times New Roman"/>
          <w:color w:val="auto"/>
          <w:sz w:val="32"/>
          <w:szCs w:val="30"/>
          <w:highlight w:val="none"/>
        </w:rPr>
        <w:t>工作</w:t>
      </w:r>
      <w:r>
        <w:rPr>
          <w:rFonts w:hint="eastAsia" w:ascii="黑体" w:hAnsi="黑体" w:eastAsia="黑体" w:cs="Times New Roman"/>
          <w:color w:val="auto"/>
          <w:sz w:val="32"/>
          <w:szCs w:val="30"/>
          <w:highlight w:val="none"/>
          <w:lang w:eastAsia="zh-CN"/>
        </w:rPr>
        <w:t>指导、监督和</w:t>
      </w:r>
      <w:r>
        <w:rPr>
          <w:rFonts w:hint="eastAsia" w:ascii="黑体" w:hAnsi="黑体" w:eastAsia="黑体" w:cs="Times New Roman"/>
          <w:color w:val="auto"/>
          <w:sz w:val="32"/>
          <w:szCs w:val="30"/>
          <w:highlight w:val="none"/>
        </w:rPr>
        <w:t>保障</w:t>
      </w: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  </w:t>
      </w:r>
      <w:r>
        <w:rPr>
          <w:rFonts w:hint="eastAsia" w:ascii="方正楷体_GBK" w:hAnsi="方正楷体_GBK" w:eastAsia="方正楷体_GBK" w:cs="方正楷体_GBK"/>
          <w:color w:val="auto"/>
          <w:kern w:val="2"/>
          <w:sz w:val="32"/>
          <w:szCs w:val="32"/>
          <w:highlight w:val="none"/>
        </w:rPr>
        <w:t>（一）加强组织领导。</w:t>
      </w:r>
      <w:r>
        <w:rPr>
          <w:rFonts w:hint="eastAsia" w:ascii="仿宋_GB2312" w:hAnsi="仿宋" w:eastAsia="仿宋_GB2312" w:cs="仿宋"/>
          <w:color w:val="auto"/>
          <w:kern w:val="2"/>
          <w:sz w:val="32"/>
          <w:szCs w:val="32"/>
          <w:highlight w:val="none"/>
          <w:lang w:eastAsia="zh-CN"/>
        </w:rPr>
        <w:t>巩固和</w:t>
      </w:r>
      <w:r>
        <w:rPr>
          <w:rFonts w:hint="eastAsia" w:ascii="仿宋_GB2312" w:hAnsi="仿宋" w:eastAsia="仿宋_GB2312" w:cs="仿宋"/>
          <w:color w:val="auto"/>
          <w:kern w:val="2"/>
          <w:sz w:val="32"/>
          <w:szCs w:val="32"/>
          <w:highlight w:val="none"/>
        </w:rPr>
        <w:t>完善</w:t>
      </w:r>
      <w:r>
        <w:rPr>
          <w:rFonts w:hint="eastAsia" w:ascii="仿宋_GB2312" w:hAnsi="仿宋" w:eastAsia="仿宋_GB2312" w:cs="仿宋"/>
          <w:color w:val="auto"/>
          <w:kern w:val="2"/>
          <w:sz w:val="32"/>
          <w:szCs w:val="32"/>
          <w:highlight w:val="none"/>
          <w:lang w:eastAsia="zh-CN"/>
        </w:rPr>
        <w:t>局</w:t>
      </w:r>
      <w:r>
        <w:rPr>
          <w:rFonts w:hint="eastAsia" w:ascii="仿宋_GB2312" w:hAnsi="仿宋" w:eastAsia="仿宋_GB2312" w:cs="仿宋"/>
          <w:color w:val="auto"/>
          <w:kern w:val="2"/>
          <w:sz w:val="32"/>
          <w:szCs w:val="32"/>
          <w:highlight w:val="none"/>
        </w:rPr>
        <w:t>主要领导亲自主抓、分管领导具体负责、</w:t>
      </w:r>
      <w:r>
        <w:rPr>
          <w:rFonts w:hint="eastAsia" w:ascii="仿宋_GB2312" w:hAnsi="仿宋" w:eastAsia="仿宋_GB2312" w:cs="仿宋"/>
          <w:color w:val="auto"/>
          <w:kern w:val="2"/>
          <w:sz w:val="32"/>
          <w:szCs w:val="32"/>
          <w:highlight w:val="none"/>
          <w:lang w:eastAsia="zh-CN"/>
        </w:rPr>
        <w:t>办公室（宣传处）</w:t>
      </w:r>
      <w:r>
        <w:rPr>
          <w:rFonts w:hint="eastAsia" w:ascii="仿宋_GB2312" w:hAnsi="仿宋" w:eastAsia="仿宋_GB2312" w:cs="仿宋"/>
          <w:color w:val="auto"/>
          <w:kern w:val="2"/>
          <w:sz w:val="32"/>
          <w:szCs w:val="32"/>
          <w:highlight w:val="none"/>
        </w:rPr>
        <w:t>协调推进的工作机制</w:t>
      </w:r>
      <w:r>
        <w:rPr>
          <w:rFonts w:hint="eastAsia" w:ascii="仿宋_GB2312" w:hAnsi="仿宋" w:eastAsia="仿宋_GB2312" w:cs="仿宋"/>
          <w:color w:val="auto"/>
          <w:kern w:val="2"/>
          <w:sz w:val="32"/>
          <w:szCs w:val="32"/>
          <w:highlight w:val="none"/>
          <w:lang w:eastAsia="zh-CN"/>
        </w:rPr>
        <w:t>，持续加强对政务公开工作的组织领导和统筹协调。</w:t>
      </w:r>
      <w:r>
        <w:rPr>
          <w:rFonts w:hint="eastAsia" w:ascii="仿宋_GB2312" w:hAnsi="仿宋" w:eastAsia="仿宋_GB2312" w:cs="仿宋"/>
          <w:color w:val="auto"/>
          <w:kern w:val="2"/>
          <w:sz w:val="32"/>
          <w:szCs w:val="32"/>
          <w:highlight w:val="none"/>
        </w:rPr>
        <w:t>结合实际做好任务分解，明确</w:t>
      </w:r>
      <w:r>
        <w:rPr>
          <w:rFonts w:hint="eastAsia" w:ascii="仿宋_GB2312" w:hAnsi="仿宋" w:eastAsia="仿宋_GB2312" w:cs="仿宋"/>
          <w:color w:val="auto"/>
          <w:kern w:val="2"/>
          <w:sz w:val="32"/>
          <w:szCs w:val="32"/>
          <w:highlight w:val="none"/>
          <w:lang w:eastAsia="zh-CN"/>
        </w:rPr>
        <w:t>具体</w:t>
      </w:r>
      <w:r>
        <w:rPr>
          <w:rFonts w:hint="eastAsia" w:ascii="仿宋_GB2312" w:hAnsi="仿宋" w:eastAsia="仿宋_GB2312" w:cs="仿宋"/>
          <w:color w:val="auto"/>
          <w:kern w:val="2"/>
          <w:sz w:val="32"/>
          <w:szCs w:val="32"/>
          <w:highlight w:val="none"/>
        </w:rPr>
        <w:t>要求和完成时限，加强过程管理，确保政务公开各项任务落到实处。（牵头部门：办公室</w:t>
      </w:r>
      <w:r>
        <w:rPr>
          <w:rFonts w:hint="eastAsia" w:ascii="仿宋_GB2312" w:hAnsi="仿宋" w:eastAsia="仿宋_GB2312" w:cs="仿宋"/>
          <w:color w:val="auto"/>
          <w:kern w:val="2"/>
          <w:sz w:val="32"/>
          <w:szCs w:val="32"/>
          <w:highlight w:val="none"/>
          <w:lang w:eastAsia="zh-CN"/>
        </w:rPr>
        <w:t>（宣传处）</w:t>
      </w:r>
      <w:r>
        <w:rPr>
          <w:rFonts w:hint="eastAsia" w:ascii="仿宋_GB2312" w:hAnsi="仿宋" w:eastAsia="仿宋_GB2312" w:cs="仿宋"/>
          <w:color w:val="auto"/>
          <w:kern w:val="2"/>
          <w:sz w:val="32"/>
          <w:szCs w:val="32"/>
          <w:highlight w:val="none"/>
        </w:rPr>
        <w:t>）</w:t>
      </w: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 xml:space="preserve">  </w:t>
      </w:r>
      <w:r>
        <w:rPr>
          <w:rFonts w:hint="eastAsia" w:ascii="方正楷体_GBK" w:hAnsi="方正楷体_GBK" w:eastAsia="方正楷体_GBK" w:cs="方正楷体_GBK"/>
          <w:color w:val="auto"/>
          <w:kern w:val="2"/>
          <w:sz w:val="32"/>
          <w:szCs w:val="32"/>
          <w:highlight w:val="none"/>
        </w:rPr>
        <w:t>（二）</w:t>
      </w:r>
      <w:r>
        <w:rPr>
          <w:rFonts w:hint="eastAsia" w:ascii="方正楷体_GBK" w:hAnsi="方正楷体_GBK" w:eastAsia="方正楷体_GBK" w:cs="方正楷体_GBK"/>
          <w:color w:val="auto"/>
          <w:kern w:val="2"/>
          <w:sz w:val="32"/>
          <w:szCs w:val="32"/>
          <w:highlight w:val="none"/>
          <w:lang w:eastAsia="zh-CN"/>
        </w:rPr>
        <w:t>开展</w:t>
      </w:r>
      <w:r>
        <w:rPr>
          <w:rFonts w:hint="eastAsia" w:ascii="方正楷体_GBK" w:hAnsi="方正楷体_GBK" w:eastAsia="方正楷体_GBK" w:cs="方正楷体_GBK"/>
          <w:color w:val="auto"/>
          <w:kern w:val="2"/>
          <w:sz w:val="32"/>
          <w:szCs w:val="32"/>
          <w:highlight w:val="none"/>
        </w:rPr>
        <w:t>业务培训。</w:t>
      </w:r>
      <w:r>
        <w:rPr>
          <w:rFonts w:hint="eastAsia" w:ascii="仿宋_GB2312" w:hAnsi="仿宋" w:eastAsia="仿宋_GB2312" w:cs="仿宋"/>
          <w:color w:val="auto"/>
          <w:kern w:val="2"/>
          <w:sz w:val="32"/>
          <w:szCs w:val="32"/>
          <w:highlight w:val="none"/>
          <w:lang w:eastAsia="zh-CN"/>
        </w:rPr>
        <w:t>继续加强政务公开工作培训，</w:t>
      </w:r>
      <w:r>
        <w:rPr>
          <w:rFonts w:hint="eastAsia" w:ascii="仿宋_GB2312" w:hAnsi="仿宋" w:eastAsia="仿宋_GB2312" w:cs="仿宋"/>
          <w:color w:val="auto"/>
          <w:kern w:val="2"/>
          <w:sz w:val="32"/>
          <w:szCs w:val="32"/>
          <w:highlight w:val="none"/>
        </w:rPr>
        <w:t>围绕依申请办理、政策解读等专项工作</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抓好</w:t>
      </w:r>
      <w:r>
        <w:rPr>
          <w:rFonts w:hint="eastAsia" w:ascii="仿宋_GB2312" w:hAnsi="仿宋" w:eastAsia="仿宋_GB2312" w:cs="仿宋"/>
          <w:color w:val="auto"/>
          <w:kern w:val="2"/>
          <w:sz w:val="32"/>
          <w:szCs w:val="32"/>
          <w:highlight w:val="none"/>
          <w:lang w:eastAsia="zh-CN"/>
        </w:rPr>
        <w:t>各级</w:t>
      </w:r>
      <w:r>
        <w:rPr>
          <w:rFonts w:hint="eastAsia" w:ascii="仿宋_GB2312" w:hAnsi="仿宋" w:eastAsia="仿宋_GB2312" w:cs="仿宋"/>
          <w:color w:val="auto"/>
          <w:kern w:val="2"/>
          <w:sz w:val="32"/>
          <w:szCs w:val="32"/>
          <w:highlight w:val="none"/>
        </w:rPr>
        <w:t>干部和新进公务员政务公开通识培训，将《中华人民共和国政府信息公开条例》和《上海市政府信息公开规定》列入领导干部应知应会清单</w:t>
      </w:r>
      <w:r>
        <w:rPr>
          <w:rFonts w:hint="eastAsia" w:ascii="仿宋_GB2312" w:hAnsi="仿宋" w:eastAsia="仿宋_GB2312" w:cs="仿宋"/>
          <w:color w:val="auto"/>
          <w:kern w:val="2"/>
          <w:sz w:val="32"/>
          <w:szCs w:val="32"/>
          <w:highlight w:val="none"/>
          <w:lang w:eastAsia="zh-CN"/>
        </w:rPr>
        <w:t>并纳入领导干部培训内容，学习兄弟单位优秀案例和经验做法，</w:t>
      </w:r>
      <w:r>
        <w:rPr>
          <w:rFonts w:hint="eastAsia" w:ascii="仿宋_GB2312" w:hAnsi="仿宋" w:eastAsia="仿宋_GB2312" w:cs="仿宋"/>
          <w:color w:val="auto"/>
          <w:kern w:val="2"/>
          <w:sz w:val="32"/>
          <w:szCs w:val="32"/>
          <w:highlight w:val="none"/>
        </w:rPr>
        <w:t>全面提升</w:t>
      </w:r>
      <w:r>
        <w:rPr>
          <w:rFonts w:hint="eastAsia" w:ascii="仿宋_GB2312" w:hAnsi="仿宋" w:eastAsia="仿宋_GB2312" w:cs="仿宋"/>
          <w:color w:val="auto"/>
          <w:kern w:val="2"/>
          <w:sz w:val="32"/>
          <w:szCs w:val="32"/>
          <w:highlight w:val="none"/>
          <w:lang w:eastAsia="zh-CN"/>
        </w:rPr>
        <w:t>局系统干部</w:t>
      </w:r>
      <w:r>
        <w:rPr>
          <w:rFonts w:hint="eastAsia" w:ascii="仿宋_GB2312" w:hAnsi="仿宋" w:eastAsia="仿宋_GB2312" w:cs="仿宋"/>
          <w:color w:val="auto"/>
          <w:kern w:val="2"/>
          <w:sz w:val="32"/>
          <w:szCs w:val="32"/>
          <w:highlight w:val="none"/>
        </w:rPr>
        <w:t>政务公开业务能力和</w:t>
      </w:r>
      <w:r>
        <w:rPr>
          <w:rFonts w:hint="eastAsia" w:ascii="仿宋_GB2312" w:hAnsi="仿宋" w:eastAsia="仿宋_GB2312" w:cs="仿宋"/>
          <w:color w:val="auto"/>
          <w:kern w:val="2"/>
          <w:sz w:val="32"/>
          <w:szCs w:val="32"/>
          <w:highlight w:val="none"/>
          <w:lang w:eastAsia="zh-CN"/>
        </w:rPr>
        <w:t>工作</w:t>
      </w:r>
      <w:r>
        <w:rPr>
          <w:rFonts w:hint="eastAsia" w:ascii="仿宋_GB2312" w:hAnsi="仿宋" w:eastAsia="仿宋_GB2312" w:cs="仿宋"/>
          <w:color w:val="auto"/>
          <w:kern w:val="2"/>
          <w:sz w:val="32"/>
          <w:szCs w:val="32"/>
          <w:highlight w:val="none"/>
        </w:rPr>
        <w:t>水平。（牵头部门：组织人事处；配合部门：办公室</w:t>
      </w:r>
      <w:r>
        <w:rPr>
          <w:rFonts w:hint="eastAsia" w:ascii="仿宋_GB2312" w:hAnsi="仿宋" w:eastAsia="仿宋_GB2312" w:cs="仿宋"/>
          <w:color w:val="auto"/>
          <w:kern w:val="2"/>
          <w:sz w:val="32"/>
          <w:szCs w:val="32"/>
          <w:highlight w:val="none"/>
          <w:lang w:eastAsia="zh-CN"/>
        </w:rPr>
        <w:t>（宣传处）</w:t>
      </w:r>
      <w:r>
        <w:rPr>
          <w:rFonts w:hint="eastAsia" w:ascii="仿宋_GB2312" w:hAnsi="仿宋" w:eastAsia="仿宋_GB2312" w:cs="仿宋"/>
          <w:color w:val="auto"/>
          <w:kern w:val="2"/>
          <w:sz w:val="32"/>
          <w:szCs w:val="32"/>
          <w:highlight w:val="none"/>
        </w:rPr>
        <w:t>）</w:t>
      </w:r>
    </w:p>
    <w:p>
      <w:pPr>
        <w:pStyle w:val="19"/>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600" w:lineRule="exact"/>
        <w:ind w:firstLine="420" w:firstLineChars="0"/>
        <w:jc w:val="both"/>
        <w:textAlignment w:val="auto"/>
        <w:rPr>
          <w:rFonts w:hint="eastAsia" w:ascii="仿宋_GB2312" w:eastAsia="仿宋_GB2312"/>
          <w:color w:val="000000"/>
          <w:spacing w:val="-6"/>
          <w:sz w:val="32"/>
          <w:szCs w:val="32"/>
        </w:rPr>
      </w:pPr>
      <w:r>
        <w:rPr>
          <w:rFonts w:hint="eastAsia" w:ascii="方正楷体_GBK" w:hAnsi="方正楷体_GBK" w:eastAsia="方正楷体_GBK" w:cs="方正楷体_GBK"/>
          <w:color w:val="auto"/>
          <w:kern w:val="2"/>
          <w:sz w:val="32"/>
          <w:szCs w:val="32"/>
          <w:highlight w:val="none"/>
          <w:lang w:eastAsia="zh-CN"/>
        </w:rPr>
        <w:t>（三）强化工作联动。</w:t>
      </w:r>
      <w:r>
        <w:rPr>
          <w:rFonts w:hint="eastAsia" w:ascii="仿宋_GB2312" w:hAnsi="仿宋" w:eastAsia="仿宋_GB2312" w:cs="仿宋"/>
          <w:color w:val="auto"/>
          <w:kern w:val="2"/>
          <w:sz w:val="32"/>
          <w:szCs w:val="32"/>
          <w:highlight w:val="none"/>
        </w:rPr>
        <w:t>将政务公开与业务工作同步推进，</w:t>
      </w:r>
      <w:r>
        <w:rPr>
          <w:rFonts w:hint="eastAsia" w:ascii="仿宋_GB2312" w:hAnsi="仿宋" w:eastAsia="仿宋_GB2312" w:cs="仿宋"/>
          <w:color w:val="auto"/>
          <w:kern w:val="2"/>
          <w:sz w:val="32"/>
          <w:szCs w:val="32"/>
          <w:highlight w:val="none"/>
          <w:lang w:eastAsia="zh-CN"/>
        </w:rPr>
        <w:t>持续完善</w:t>
      </w:r>
      <w:r>
        <w:rPr>
          <w:rFonts w:hint="eastAsia" w:ascii="仿宋_GB2312" w:hAnsi="仿宋" w:eastAsia="仿宋_GB2312" w:cs="仿宋"/>
          <w:color w:val="auto"/>
          <w:kern w:val="2"/>
          <w:sz w:val="32"/>
          <w:szCs w:val="32"/>
          <w:highlight w:val="none"/>
        </w:rPr>
        <w:t>政务公开管理部门和业务部门的协调联动机制，</w:t>
      </w:r>
      <w:r>
        <w:rPr>
          <w:rFonts w:hint="eastAsia" w:ascii="仿宋_GB2312" w:hAnsi="仿宋" w:eastAsia="仿宋_GB2312" w:cs="仿宋"/>
          <w:color w:val="auto"/>
          <w:kern w:val="2"/>
          <w:sz w:val="32"/>
          <w:szCs w:val="32"/>
          <w:highlight w:val="none"/>
          <w:lang w:eastAsia="zh-CN"/>
        </w:rPr>
        <w:t>有效发挥</w:t>
      </w:r>
      <w:r>
        <w:rPr>
          <w:rFonts w:hint="eastAsia" w:ascii="仿宋_GB2312" w:hAnsi="仿宋" w:eastAsia="仿宋_GB2312" w:cs="仿宋"/>
          <w:color w:val="auto"/>
          <w:kern w:val="2"/>
          <w:sz w:val="32"/>
          <w:szCs w:val="32"/>
          <w:highlight w:val="none"/>
        </w:rPr>
        <w:t>政务公开对整体工作的推动支撑作用。</w:t>
      </w:r>
      <w:r>
        <w:rPr>
          <w:rFonts w:hint="eastAsia" w:ascii="仿宋_GB2312" w:hAnsi="仿宋" w:eastAsia="仿宋_GB2312" w:cs="仿宋"/>
          <w:color w:val="auto"/>
          <w:kern w:val="2"/>
          <w:sz w:val="32"/>
          <w:szCs w:val="32"/>
          <w:highlight w:val="none"/>
          <w:lang w:val="en-US" w:eastAsia="zh-CN"/>
        </w:rPr>
        <w:t>进一步</w:t>
      </w:r>
      <w:r>
        <w:rPr>
          <w:rFonts w:hint="eastAsia" w:ascii="仿宋_GB2312" w:hAnsi="仿宋" w:eastAsia="仿宋_GB2312" w:cs="仿宋"/>
          <w:color w:val="auto"/>
          <w:kern w:val="2"/>
          <w:sz w:val="32"/>
          <w:szCs w:val="32"/>
          <w:highlight w:val="none"/>
        </w:rPr>
        <w:t>完善</w:t>
      </w:r>
      <w:r>
        <w:rPr>
          <w:rFonts w:hint="eastAsia" w:ascii="仿宋_GB2312" w:hAnsi="仿宋" w:eastAsia="仿宋_GB2312" w:cs="仿宋"/>
          <w:color w:val="auto"/>
          <w:kern w:val="2"/>
          <w:sz w:val="32"/>
          <w:szCs w:val="32"/>
          <w:highlight w:val="none"/>
          <w:lang w:eastAsia="zh-CN"/>
        </w:rPr>
        <w:t>局系统</w:t>
      </w:r>
      <w:r>
        <w:rPr>
          <w:rFonts w:hint="eastAsia" w:ascii="仿宋_GB2312" w:hAnsi="仿宋" w:eastAsia="仿宋_GB2312" w:cs="仿宋"/>
          <w:color w:val="auto"/>
          <w:kern w:val="2"/>
          <w:sz w:val="32"/>
          <w:szCs w:val="32"/>
          <w:highlight w:val="none"/>
        </w:rPr>
        <w:t>政务公开联络员工作机制</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保持政务公开队伍稳定</w:t>
      </w:r>
      <w:r>
        <w:rPr>
          <w:rFonts w:hint="eastAsia" w:ascii="仿宋_GB2312" w:hAnsi="仿宋" w:eastAsia="仿宋_GB2312" w:cs="仿宋"/>
          <w:color w:val="auto"/>
          <w:kern w:val="2"/>
          <w:sz w:val="32"/>
          <w:szCs w:val="32"/>
          <w:highlight w:val="none"/>
          <w:lang w:eastAsia="zh-CN"/>
        </w:rPr>
        <w:t>、工作顺畅</w:t>
      </w:r>
      <w:r>
        <w:rPr>
          <w:rFonts w:hint="eastAsia" w:ascii="仿宋_GB2312" w:hAnsi="仿宋" w:eastAsia="仿宋_GB2312" w:cs="仿宋"/>
          <w:color w:val="auto"/>
          <w:kern w:val="2"/>
          <w:sz w:val="32"/>
          <w:szCs w:val="32"/>
          <w:highlight w:val="none"/>
        </w:rPr>
        <w:t>。</w:t>
      </w:r>
      <w:r>
        <w:rPr>
          <w:rFonts w:hint="eastAsia" w:ascii="仿宋_GB2312" w:hAnsi="仿宋" w:eastAsia="仿宋_GB2312" w:cs="仿宋"/>
          <w:color w:val="auto"/>
          <w:kern w:val="2"/>
          <w:sz w:val="32"/>
          <w:szCs w:val="32"/>
          <w:highlight w:val="none"/>
          <w:lang w:eastAsia="zh-CN"/>
        </w:rPr>
        <w:t>将</w:t>
      </w:r>
      <w:r>
        <w:rPr>
          <w:rFonts w:hint="eastAsia" w:ascii="仿宋_GB2312" w:hAnsi="仿宋" w:eastAsia="仿宋_GB2312" w:cs="仿宋"/>
          <w:color w:val="auto"/>
          <w:kern w:val="2"/>
          <w:sz w:val="32"/>
          <w:szCs w:val="32"/>
          <w:highlight w:val="none"/>
        </w:rPr>
        <w:t>政务公开成效纳入年度部门考核内容，抓好突出问题与薄弱环节的整改落实。</w:t>
      </w:r>
      <w:r>
        <w:rPr>
          <w:rFonts w:hint="eastAsia" w:ascii="仿宋_GB2312" w:hAnsi="仿宋" w:eastAsia="仿宋_GB2312" w:cs="仿宋"/>
          <w:color w:val="auto"/>
          <w:kern w:val="2"/>
          <w:sz w:val="32"/>
          <w:szCs w:val="32"/>
          <w:highlight w:val="none"/>
          <w:lang w:eastAsia="zh-CN"/>
        </w:rPr>
        <w:t>（牵头部门：办公室（宣传处）；配合部门：各部门）</w:t>
      </w:r>
    </w:p>
    <w:p>
      <w:pPr>
        <w:pStyle w:val="2"/>
        <w:rPr>
          <w:rFonts w:hint="eastAsia" w:ascii="仿宋_GB2312" w:eastAsia="仿宋_GB2312"/>
          <w:color w:val="000000"/>
          <w:spacing w:val="-6"/>
          <w:sz w:val="32"/>
          <w:szCs w:val="32"/>
        </w:rPr>
      </w:pPr>
    </w:p>
    <w:p>
      <w:pPr>
        <w:pStyle w:val="2"/>
        <w:rPr>
          <w:rFonts w:hint="eastAsia" w:ascii="仿宋_GB2312" w:eastAsia="仿宋_GB2312"/>
          <w:color w:val="000000"/>
          <w:spacing w:val="-6"/>
          <w:sz w:val="32"/>
          <w:szCs w:val="32"/>
        </w:rPr>
      </w:pPr>
    </w:p>
    <w:p>
      <w:pPr>
        <w:adjustRightInd w:val="0"/>
        <w:snapToGrid w:val="0"/>
        <w:spacing w:line="336" w:lineRule="auto"/>
        <w:ind w:firstLine="284"/>
        <w:rPr>
          <w:rFonts w:hint="eastAsia"/>
          <w:sz w:val="28"/>
          <w:szCs w:val="28"/>
        </w:rPr>
      </w:pPr>
      <w:r>
        <w:rPr>
          <w:rFonts w:hint="eastAsia" w:ascii="仿宋_GB2312" w:hAnsi="宋体" w:eastAsia="仿宋_GB2312"/>
          <w:sz w:val="28"/>
          <w:szCs w:val="28"/>
        </w:rPr>
        <w:t>上海市知识产权局办公室</w:t>
      </w:r>
      <w:r>
        <w:rPr>
          <w:rFonts w:hint="eastAsia" w:ascii="仿宋_GB2312" w:hAnsi="宋体" w:eastAsia="仿宋_GB2312"/>
          <w:spacing w:val="-2"/>
          <w:sz w:val="28"/>
          <w:szCs w:val="28"/>
        </w:rPr>
        <w:t xml:space="preserve">    </w:t>
      </w:r>
      <w:r>
        <w:rPr>
          <w:rFonts w:hint="eastAsia" w:ascii="仿宋_GB2312" w:hAnsi="宋体" w:eastAsia="仿宋_GB2312"/>
          <w:spacing w:val="-3"/>
          <w:sz w:val="28"/>
          <w:szCs w:val="28"/>
        </w:rPr>
        <w:t xml:space="preserve">    </w:t>
      </w:r>
      <w:r>
        <w:rPr>
          <w:rFonts w:hint="eastAsia" w:ascii="仿宋_GB2312" w:hAnsi="宋体" w:eastAsia="仿宋_GB2312"/>
          <w:spacing w:val="-3"/>
          <w:sz w:val="28"/>
          <w:szCs w:val="28"/>
          <w:lang w:val="en-US" w:eastAsia="zh-CN"/>
        </w:rPr>
        <w:t xml:space="preserve">  </w:t>
      </w:r>
      <w:r>
        <w:rPr>
          <w:rFonts w:hint="eastAsia" w:ascii="仿宋_GB2312" w:hAnsi="宋体" w:eastAsia="仿宋_GB2312"/>
          <w:spacing w:val="-3"/>
          <w:sz w:val="28"/>
          <w:szCs w:val="28"/>
        </w:rPr>
        <w:t xml:space="preserve">       </w:t>
      </w:r>
      <w:r>
        <w:rPr>
          <w:rFonts w:hint="eastAsia" w:ascii="仿宋_GB2312" w:hAnsi="宋体" w:eastAsia="仿宋_GB2312"/>
          <w:spacing w:val="-3"/>
          <w:sz w:val="28"/>
          <w:szCs w:val="28"/>
          <w:lang w:val="en-US" w:eastAsia="zh-CN"/>
        </w:rPr>
        <w:t xml:space="preserve">  </w:t>
      </w:r>
      <w:r>
        <w:rPr>
          <w:rFonts w:hint="eastAsia" w:ascii="仿宋_GB2312" w:hAnsi="宋体" w:eastAsia="仿宋_GB2312"/>
          <w:spacing w:val="-3"/>
          <w:sz w:val="28"/>
          <w:szCs w:val="28"/>
        </w:rPr>
        <w:t xml:space="preserve"> </w:t>
      </w:r>
      <w:r>
        <w:rPr>
          <w:rFonts w:hint="default" w:ascii="仿宋_GB2312" w:hAnsi="宋体" w:eastAsia="仿宋_GB2312"/>
          <w:spacing w:val="-3"/>
          <w:sz w:val="28"/>
          <w:szCs w:val="28"/>
        </w:rPr>
        <w:t>2024</w:t>
      </w:r>
      <w:r>
        <w:rPr>
          <w:rFonts w:hint="eastAsia" w:ascii="仿宋_GB2312" w:hAnsi="宋体" w:eastAsia="仿宋_GB2312"/>
          <w:sz w:val="28"/>
          <w:szCs w:val="28"/>
        </w:rPr>
        <w:t>年</w:t>
      </w:r>
      <w:r>
        <w:rPr>
          <w:rFonts w:hint="default" w:ascii="仿宋_GB2312" w:hAnsi="宋体" w:eastAsia="仿宋_GB2312"/>
          <w:sz w:val="28"/>
          <w:szCs w:val="28"/>
        </w:rPr>
        <w:t>6</w:t>
      </w:r>
      <w:r>
        <w:rPr>
          <w:rFonts w:hint="eastAsia" w:ascii="仿宋_GB2312" w:hAnsi="宋体" w:eastAsia="仿宋_GB2312"/>
          <w:sz w:val="28"/>
          <w:szCs w:val="28"/>
        </w:rPr>
        <w:t>月</w:t>
      </w:r>
      <w:r>
        <w:rPr>
          <w:rFonts w:hint="eastAsia" w:ascii="仿宋_GB2312" w:hAnsi="宋体" w:eastAsia="仿宋_GB2312"/>
          <w:sz w:val="28"/>
          <w:szCs w:val="28"/>
          <w:lang w:val="en-US" w:eastAsia="zh-CN"/>
        </w:rPr>
        <w:t>4</w:t>
      </w:r>
      <w:r>
        <w:rPr>
          <w:rFonts w:hint="eastAsia" w:ascii="仿宋_GB2312" w:hAnsi="宋体" w:eastAsia="仿宋_GB2312"/>
          <w:sz w:val="28"/>
          <w:szCs w:val="28"/>
        </w:rPr>
        <w:t>日印发</w:t>
      </w:r>
      <w:r>
        <w:rPr>
          <w:rFonts w:ascii="仿宋_GB2312" w:eastAsia="仿宋_GB2312"/>
          <w:sz w:val="28"/>
          <w:szCs w:val="28"/>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-46990</wp:posOffset>
                </wp:positionV>
                <wp:extent cx="5615940" cy="0"/>
                <wp:effectExtent l="0" t="0" r="0" b="0"/>
                <wp:wrapNone/>
                <wp:docPr id="24" name="直线 114"/>
                <wp:cNvGraphicFramePr/>
                <a:graphic xmlns:a="http://schemas.openxmlformats.org/drawingml/2006/main">
                  <a:graphicData uri="http://schemas.microsoft.com/office/word/2010/wordprocessingShape">
                    <wps:wsp>
                      <wps:cNvCnPr/>
                      <wps:spPr>
                        <a:xfrm>
                          <a:off x="0" y="0"/>
                          <a:ext cx="5615940" cy="0"/>
                        </a:xfrm>
                        <a:prstGeom prst="line">
                          <a:avLst/>
                        </a:prstGeom>
                        <a:ln w="9525">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直线 114" o:spid="_x0000_s1026" o:spt="20" style="position:absolute;left:0pt;margin-left:0pt;margin-top:-3.7pt;height:0pt;width:442.2pt;z-index:251681792;mso-width-relative:page;mso-height-relative:page;" filled="f" stroked="t" coordsize="21600,21600" o:gfxdata="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">
                <v:fill on="f" focussize="0,0"/>
                <v:stroke color="#000000 [3200]" joinstyle="round"/>
                <v:imagedata o:title=""/>
                <o:lock v:ext="edit" aspectratio="f"/>
              </v:line>
            </w:pict>
          </mc:Fallback>
        </mc:AlternateContent>
      </w:r>
      <w:r>
        <w:rPr>
          <w:rFonts w:ascii="仿宋_GB2312" w:hAnsi="宋体" w:eastAsia="仿宋_GB2312"/>
          <w:sz w:val="28"/>
          <w:szCs w:val="28"/>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260350</wp:posOffset>
                </wp:positionV>
                <wp:extent cx="5615940" cy="0"/>
                <wp:effectExtent l="0" t="0" r="0" b="0"/>
                <wp:wrapNone/>
                <wp:docPr id="25" name="直线 115"/>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5" o:spid="_x0000_s1026" o:spt="20" style="position:absolute;left:0pt;margin-left:0pt;margin-top:20.5pt;height:0pt;width:442.2pt;z-index:251682816;mso-width-relative:page;mso-height-relative:page;" filled="f" stroked="t" coordsize="21600,21600" o:gfxdata="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CjWRG/pAQAA3gMAAA4AAAAAAAAAAQAgAAAAOQEAAGRycy9l&#10;Mm9Eb2MueG1sUEsBAhQAFAAAAAgAh07iQCq3wXPUAAAABg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hint="eastAsia" w:ascii="仿宋_GB2312" w:eastAsia="仿宋_GB2312"/>
          <w:sz w:val="30"/>
          <w:szCs w:val="30"/>
        </w:rPr>
        <mc:AlternateContent>
          <mc:Choice Requires="wps">
            <w:drawing>
              <wp:anchor distT="0" distB="0" distL="114300" distR="114300" simplePos="0" relativeHeight="25168076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23" name="直线 117"/>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7" o:spid="_x0000_s1026" o:spt="20" style="position:absolute;left:0pt;margin-left:5.1pt;margin-top:552pt;height:0pt;width:433.5pt;z-index:25168076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BoJ+ru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hint="eastAsia" w:ascii="仿宋_GB2312" w:eastAsia="仿宋_GB2312"/>
          <w:sz w:val="30"/>
          <w:szCs w:val="30"/>
        </w:rPr>
        <mc:AlternateContent>
          <mc:Choice Requires="wps">
            <w:drawing>
              <wp:anchor distT="0" distB="0" distL="114300" distR="114300" simplePos="0" relativeHeight="25167974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2" name="直线 1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8" o:spid="_x0000_s1026" o:spt="20" style="position:absolute;left:0pt;margin-left:5.1pt;margin-top:552pt;height:0pt;width:0.05pt;z-index:25167974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BAHVLF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hint="eastAsia" w:ascii="仿宋_GB2312" w:eastAsia="仿宋_GB2312"/>
          <w:sz w:val="30"/>
          <w:szCs w:val="30"/>
        </w:rPr>
        <mc:AlternateContent>
          <mc:Choice Requires="wps">
            <w:drawing>
              <wp:anchor distT="0" distB="0" distL="114300" distR="114300" simplePos="0" relativeHeight="251678720"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21" name="直线 119"/>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9" o:spid="_x0000_s1026" o:spt="20" style="position:absolute;left:0pt;margin-left:5.1pt;margin-top:552pt;height:0pt;width:433.5pt;z-index:251678720;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DNsZOv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hint="eastAsia" w:ascii="仿宋_GB2312" w:eastAsia="仿宋_GB2312"/>
          <w:sz w:val="30"/>
          <w:szCs w:val="30"/>
        </w:rPr>
        <mc:AlternateContent>
          <mc:Choice Requires="wps">
            <w:drawing>
              <wp:anchor distT="0" distB="0" distL="114300" distR="114300" simplePos="0" relativeHeight="251677696"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0" name="直线 12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0" o:spid="_x0000_s1026" o:spt="20" style="position:absolute;left:0pt;margin-left:5.1pt;margin-top:552pt;height:0pt;width:0.05pt;z-index:251677696;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I4Dgk/mAQAA2gMAAA4AAAAAAAAAAQAgAAAAOQEAAGRycy9lMm9E&#10;b2MueG1sUEsBAhQAFAAAAAgAh07iQOM/8FzUAAAACwEAAA8AAAAAAAAAAQAgAAAAOAAAAGRycy9k&#10;b3ducmV2LnhtbFBLAQIUAAoAAAAAAIdO4kAAAAAAAAAAAAAAAAAEAAAAAAAAAAAAEAAAABYAAABk&#10;cnMvUEsFBgAAAAAGAAYAWQEAAJE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2576"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5" name="直线 121"/>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1" o:spid="_x0000_s1026" o:spt="20" style="position:absolute;left:0pt;margin-left:5.1pt;margin-top:552pt;height:0pt;width:433.5pt;z-index:251672576;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NVGPkDpAQAA3gMAAA4AAAAAAAAAAQAgAAAAOQEAAGRycy9l&#10;Mm9Eb2MueG1sUEsBAhQAFAAAAAgAh07iQLkDhSXUAAAADA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1552"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4" name="直线 12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2" o:spid="_x0000_s1026" o:spt="20" style="position:absolute;left:0pt;margin-left:5.1pt;margin-top:552pt;height:0pt;width:0.05pt;z-index:251671552;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CzIXYP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6672"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9" name="直线 123"/>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3" o:spid="_x0000_s1026" o:spt="20" style="position:absolute;left:0pt;margin-left:5.1pt;margin-top:552pt;height:0pt;width:433.5pt;z-index:251676672;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AMkwdD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5648"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8" name="直线 12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4" o:spid="_x0000_s1026" o:spt="20" style="position:absolute;left:0pt;margin-left:5.1pt;margin-top:552pt;height:0pt;width:0.05pt;z-index:251675648;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FPmo3zmAQAA2gMAAA4AAAAAAAAAAQAgAAAAOQEAAGRycy9lMm9E&#10;b2MueG1sUEsBAhQAFAAAAAgAh07iQOM/8FzUAAAACwEAAA8AAAAAAAAAAQAgAAAAOAAAAGRycy9k&#10;b3ducmV2LnhtbFBLAQIUAAoAAAAAAIdO4kAAAAAAAAAAAAAAAAAEAAAAAAAAAAAAEAAAABYAAABk&#10;cnMvUEsFBgAAAAAGAAYAWQEAAJE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4624"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7" name="直线 125"/>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5" o:spid="_x0000_s1026" o:spt="20" style="position:absolute;left:0pt;margin-left:5.1pt;margin-top:552pt;height:0pt;width:433.5pt;z-index:251674624;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B8Wf/S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73600"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6" name="直线 12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6" o:spid="_x0000_s1026" o:spt="20" style="position:absolute;left:0pt;margin-left:5.1pt;margin-top:552pt;height:0pt;width:0.05pt;z-index:251673600;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CBu0W7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70528"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3" name="直线 12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7" o:spid="_x0000_s1026" o:spt="20" style="position:absolute;left:0pt;margin-left:5.1pt;margin-top:552pt;height:0pt;width:0.05pt;z-index:251670528;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BNxN1Z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9504"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2" name="直线 128"/>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8" o:spid="_x0000_s1026" o:spt="20" style="position:absolute;left:0pt;margin-left:5.1pt;margin-top:552pt;height:0pt;width:433.5pt;z-index:251669504;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Dhqnrb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8480"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1" name="直线 12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9" o:spid="_x0000_s1026" o:spt="20" style="position:absolute;left:0pt;margin-left:5.1pt;margin-top:552pt;height:0pt;width:0.05pt;z-index:251668480;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D6Lktw5wEAANo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6" name="直线 63"/>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5.1pt;margin-top:552pt;height:0pt;width:433.5pt;z-index:251663360;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K+aCdrpAQAA3AMAAA4AAAAAAAAAAQAgAAAAOQEAAGRycy9l&#10;Mm9Eb2MueG1sUEsBAhQAFAAAAAgAh07iQLkDhSXUAAAADA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5" name="直线 6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5.1pt;margin-top:552pt;height:0pt;width:0.05pt;z-index:251662336;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0" name="直线 68"/>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 o:spid="_x0000_s1026" o:spt="20" style="position:absolute;left:0pt;margin-left:5.1pt;margin-top:552pt;height:0pt;width:433.5pt;z-index:251667456;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Dfwp3PpAQAA3QMAAA4AAAAAAAAAAQAgAAAAOQEAAGRycy9l&#10;Mm9Eb2MueG1sUEsBAhQAFAAAAAgAh07iQLkDhSXUAAAADA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9" name="直线 6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margin-left:5.1pt;margin-top:552pt;height:0pt;width:0.05pt;z-index:251666432;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540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8" name="直线 66"/>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 o:spid="_x0000_s1026" o:spt="20" style="position:absolute;left:0pt;margin-left:5.1pt;margin-top:552pt;height:0pt;width:433.5pt;z-index:25166540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7" name="直线 6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5.1pt;margin-top:552pt;height:0pt;width:0.05pt;z-index:25166438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4" name="直线 5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 o:spid="_x0000_s1026" o:spt="20" style="position:absolute;left:0pt;margin-left:5.1pt;margin-top:552pt;height:0pt;width:0.05pt;z-index:251661312;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3" name="直线 55"/>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5.1pt;margin-top:552pt;height:0pt;width:433.5pt;z-index:25166028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 name="直线 5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5.1pt;margin-top:552pt;height:0pt;width:0.05pt;z-index:25165926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B8TF67mAQAA2AMAAA4AAAAAAAAAAQAgAAAAOQEAAGRycy9lMm9E&#10;b2MueG1sUEsBAhQAFAAAAAgAh07iQOM/8FzUAAAACwEAAA8AAAAAAAAAAQAgAAAAOAAAAGRycy9k&#10;b3ducmV2LnhtbFBLAQIUAAoAAAAAAIdO4kAAAAAAAAAAAAAAAAAEAAAAAAAAAAAAEAAAABYAAABk&#10;cnMvUEsFBgAAAAAGAAYAWQEAAJEFAAAAAA==&#10;">
                <v:fill on="f" focussize="0,0"/>
                <v:stroke color="#000000" joinstyle="round"/>
                <v:imagedata o:title=""/>
                <o:lock v:ext="edit" aspectratio="f"/>
              </v:line>
            </w:pict>
          </mc:Fallback>
        </mc:AlternateContent>
      </w:r>
    </w:p>
    <w:sectPr>
      <w:footerReference r:id="rId3" w:type="default"/>
      <w:footerReference r:id="rId4" w:type="even"/>
      <w:pgSz w:w="11906" w:h="16838"/>
      <w:pgMar w:top="2154" w:right="1531" w:bottom="1440" w:left="1531" w:header="851" w:footer="680"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xi Sans">
    <w:altName w:val="Noto Serif CJK SC"/>
    <w:panose1 w:val="00000000000000000000"/>
    <w:charset w:val="00"/>
    <w:family w:val="auto"/>
    <w:pitch w:val="default"/>
    <w:sig w:usb0="00000000" w:usb1="00000000" w:usb2="00000000" w:usb3="00000000" w:csb0="00040001" w:csb1="00000000"/>
  </w:font>
  <w:font w:name="Noto Serif CJK SC">
    <w:panose1 w:val="02020400000000000000"/>
    <w:charset w:val="86"/>
    <w:family w:val="auto"/>
    <w:pitch w:val="default"/>
    <w:sig w:usb0="3000008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文泉驿微米黑">
    <w:panose1 w:val="020B0606030804020204"/>
    <w:charset w:val="86"/>
    <w:family w:val="auto"/>
    <w:pitch w:val="default"/>
    <w:sig w:usb0="E10002EF" w:usb1="6BDFFCFB" w:usb2="00800036" w:usb3="00000000" w:csb0="603E019F" w:csb1="DFD7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sz w:val="24"/>
        <w:szCs w:val="24"/>
      </w:rPr>
    </w:pPr>
    <w:r>
      <w:rPr>
        <w:sz w:val="24"/>
        <w:szCs w:val="24"/>
      </w:rPr>
      <w:t xml:space="preserve">  </w:t>
    </w:r>
    <w:r>
      <w:rPr>
        <w:rFonts w:hint="eastAsia" w:ascii="宋体" w:hAnsi="宋体"/>
        <w:sz w:val="24"/>
        <w:szCs w:val="24"/>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Fonts w:hint="eastAsia" w:ascii="宋体" w:hAnsi="宋体"/>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sz w:val="24"/>
        <w:szCs w:val="24"/>
      </w:rPr>
    </w:pPr>
    <w:r>
      <w:rPr>
        <w:rFonts w:hint="eastAsia" w:ascii="宋体" w:hAnsi="宋体"/>
        <w:sz w:val="24"/>
        <w:szCs w:val="24"/>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ascii="宋体" w:hAnsi="宋体"/>
        <w:sz w:val="24"/>
        <w:szCs w:val="24"/>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E7B0E"/>
    <w:multiLevelType w:val="singleLevel"/>
    <w:tmpl w:val="FEFE7B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3"/>
  <w:drawingGridVerticalSpacing w:val="27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MzczODEzYWY4NDljYTc4YTQ5NDVkMzVhOTMwOWQifQ=="/>
  </w:docVars>
  <w:rsids>
    <w:rsidRoot w:val="00C4420B"/>
    <w:rsid w:val="00010DA7"/>
    <w:rsid w:val="00011592"/>
    <w:rsid w:val="00014125"/>
    <w:rsid w:val="000210E3"/>
    <w:rsid w:val="00026F25"/>
    <w:rsid w:val="000337A5"/>
    <w:rsid w:val="00042F3F"/>
    <w:rsid w:val="00052008"/>
    <w:rsid w:val="00054017"/>
    <w:rsid w:val="00054F43"/>
    <w:rsid w:val="00061353"/>
    <w:rsid w:val="000650BB"/>
    <w:rsid w:val="0007008F"/>
    <w:rsid w:val="00073729"/>
    <w:rsid w:val="00074E42"/>
    <w:rsid w:val="000A06E5"/>
    <w:rsid w:val="000B3E59"/>
    <w:rsid w:val="000D077C"/>
    <w:rsid w:val="000D2D9A"/>
    <w:rsid w:val="000D6AAF"/>
    <w:rsid w:val="000E0ED6"/>
    <w:rsid w:val="000F3D74"/>
    <w:rsid w:val="000F3DE8"/>
    <w:rsid w:val="00103ADC"/>
    <w:rsid w:val="001107B5"/>
    <w:rsid w:val="001113AD"/>
    <w:rsid w:val="001205E1"/>
    <w:rsid w:val="00124005"/>
    <w:rsid w:val="0016431C"/>
    <w:rsid w:val="0017694B"/>
    <w:rsid w:val="00184F34"/>
    <w:rsid w:val="001858DD"/>
    <w:rsid w:val="001A08F3"/>
    <w:rsid w:val="001C3AC7"/>
    <w:rsid w:val="001D04B0"/>
    <w:rsid w:val="001D059B"/>
    <w:rsid w:val="002011F9"/>
    <w:rsid w:val="00202F9D"/>
    <w:rsid w:val="0020744A"/>
    <w:rsid w:val="002076ED"/>
    <w:rsid w:val="002169C8"/>
    <w:rsid w:val="00226566"/>
    <w:rsid w:val="00271F90"/>
    <w:rsid w:val="0027491B"/>
    <w:rsid w:val="00277759"/>
    <w:rsid w:val="00285E36"/>
    <w:rsid w:val="00290E77"/>
    <w:rsid w:val="00291E6F"/>
    <w:rsid w:val="002A7A1E"/>
    <w:rsid w:val="002A7B50"/>
    <w:rsid w:val="002B71EB"/>
    <w:rsid w:val="002B7C00"/>
    <w:rsid w:val="002D3A3B"/>
    <w:rsid w:val="002E1DA4"/>
    <w:rsid w:val="002E63F4"/>
    <w:rsid w:val="00302E3A"/>
    <w:rsid w:val="00316861"/>
    <w:rsid w:val="0032417B"/>
    <w:rsid w:val="003572AD"/>
    <w:rsid w:val="00361808"/>
    <w:rsid w:val="0038227A"/>
    <w:rsid w:val="00384FF0"/>
    <w:rsid w:val="00385B40"/>
    <w:rsid w:val="003919AC"/>
    <w:rsid w:val="003930E6"/>
    <w:rsid w:val="003A1C2C"/>
    <w:rsid w:val="003A3B67"/>
    <w:rsid w:val="003B2F81"/>
    <w:rsid w:val="003B612E"/>
    <w:rsid w:val="003C0E61"/>
    <w:rsid w:val="003C69AC"/>
    <w:rsid w:val="00416595"/>
    <w:rsid w:val="00422BF3"/>
    <w:rsid w:val="00422E2B"/>
    <w:rsid w:val="00425391"/>
    <w:rsid w:val="00427B77"/>
    <w:rsid w:val="00431CD1"/>
    <w:rsid w:val="00434DD7"/>
    <w:rsid w:val="00442CCA"/>
    <w:rsid w:val="00451B98"/>
    <w:rsid w:val="0045229C"/>
    <w:rsid w:val="00473279"/>
    <w:rsid w:val="004779B6"/>
    <w:rsid w:val="00482326"/>
    <w:rsid w:val="00483240"/>
    <w:rsid w:val="004945E8"/>
    <w:rsid w:val="004961BE"/>
    <w:rsid w:val="004A2E97"/>
    <w:rsid w:val="004A7BB9"/>
    <w:rsid w:val="004B2088"/>
    <w:rsid w:val="004B6C4B"/>
    <w:rsid w:val="004D7F18"/>
    <w:rsid w:val="004E3CAB"/>
    <w:rsid w:val="004E4483"/>
    <w:rsid w:val="004E6ADE"/>
    <w:rsid w:val="004F0F63"/>
    <w:rsid w:val="004F5440"/>
    <w:rsid w:val="0051003A"/>
    <w:rsid w:val="00514717"/>
    <w:rsid w:val="005306FE"/>
    <w:rsid w:val="0056298C"/>
    <w:rsid w:val="00563118"/>
    <w:rsid w:val="00565B9C"/>
    <w:rsid w:val="00571A43"/>
    <w:rsid w:val="00574C97"/>
    <w:rsid w:val="00585E64"/>
    <w:rsid w:val="005A48DE"/>
    <w:rsid w:val="005A5187"/>
    <w:rsid w:val="005B49C7"/>
    <w:rsid w:val="005C2EB2"/>
    <w:rsid w:val="005C3EDE"/>
    <w:rsid w:val="005E2C22"/>
    <w:rsid w:val="006115E2"/>
    <w:rsid w:val="00615D06"/>
    <w:rsid w:val="00616D7F"/>
    <w:rsid w:val="006205B8"/>
    <w:rsid w:val="00650D52"/>
    <w:rsid w:val="00651A83"/>
    <w:rsid w:val="006536A4"/>
    <w:rsid w:val="0065696E"/>
    <w:rsid w:val="006634D0"/>
    <w:rsid w:val="0067386E"/>
    <w:rsid w:val="00674ED7"/>
    <w:rsid w:val="00695E96"/>
    <w:rsid w:val="006E086B"/>
    <w:rsid w:val="006E24A0"/>
    <w:rsid w:val="007016D4"/>
    <w:rsid w:val="00704B94"/>
    <w:rsid w:val="007056F0"/>
    <w:rsid w:val="00732427"/>
    <w:rsid w:val="00746435"/>
    <w:rsid w:val="007668CD"/>
    <w:rsid w:val="0079152D"/>
    <w:rsid w:val="007A3929"/>
    <w:rsid w:val="007A5F65"/>
    <w:rsid w:val="007B127F"/>
    <w:rsid w:val="007B3386"/>
    <w:rsid w:val="007B4BB5"/>
    <w:rsid w:val="007B734C"/>
    <w:rsid w:val="007D1EB0"/>
    <w:rsid w:val="007D422F"/>
    <w:rsid w:val="007F06CA"/>
    <w:rsid w:val="007F686A"/>
    <w:rsid w:val="00800300"/>
    <w:rsid w:val="00807BAC"/>
    <w:rsid w:val="0082573A"/>
    <w:rsid w:val="008309FB"/>
    <w:rsid w:val="00853149"/>
    <w:rsid w:val="00855C24"/>
    <w:rsid w:val="00856B88"/>
    <w:rsid w:val="00857730"/>
    <w:rsid w:val="00857F8A"/>
    <w:rsid w:val="00870525"/>
    <w:rsid w:val="00873942"/>
    <w:rsid w:val="00873BAB"/>
    <w:rsid w:val="00874E42"/>
    <w:rsid w:val="00883693"/>
    <w:rsid w:val="008860B5"/>
    <w:rsid w:val="008920A1"/>
    <w:rsid w:val="00896882"/>
    <w:rsid w:val="008A3486"/>
    <w:rsid w:val="008A7F6B"/>
    <w:rsid w:val="008B529C"/>
    <w:rsid w:val="008C4442"/>
    <w:rsid w:val="008D068C"/>
    <w:rsid w:val="008D2218"/>
    <w:rsid w:val="008F0942"/>
    <w:rsid w:val="008F59D9"/>
    <w:rsid w:val="00925B39"/>
    <w:rsid w:val="00930696"/>
    <w:rsid w:val="00930A00"/>
    <w:rsid w:val="009313F7"/>
    <w:rsid w:val="009317C6"/>
    <w:rsid w:val="009503D1"/>
    <w:rsid w:val="00950A6B"/>
    <w:rsid w:val="009667C2"/>
    <w:rsid w:val="0097134A"/>
    <w:rsid w:val="0097546C"/>
    <w:rsid w:val="00981770"/>
    <w:rsid w:val="00982628"/>
    <w:rsid w:val="009902F7"/>
    <w:rsid w:val="009913B8"/>
    <w:rsid w:val="009A0200"/>
    <w:rsid w:val="009A6C1C"/>
    <w:rsid w:val="009B0A36"/>
    <w:rsid w:val="009B0BC2"/>
    <w:rsid w:val="009B12AD"/>
    <w:rsid w:val="009B15C3"/>
    <w:rsid w:val="009B5E6C"/>
    <w:rsid w:val="009B70C2"/>
    <w:rsid w:val="009F5D39"/>
    <w:rsid w:val="009F7D59"/>
    <w:rsid w:val="00A03ABE"/>
    <w:rsid w:val="00A044B5"/>
    <w:rsid w:val="00A14591"/>
    <w:rsid w:val="00A24119"/>
    <w:rsid w:val="00A34296"/>
    <w:rsid w:val="00A51AEC"/>
    <w:rsid w:val="00A710B5"/>
    <w:rsid w:val="00A71B28"/>
    <w:rsid w:val="00AA69B9"/>
    <w:rsid w:val="00AC3CD2"/>
    <w:rsid w:val="00AD041D"/>
    <w:rsid w:val="00AE6428"/>
    <w:rsid w:val="00AF18E1"/>
    <w:rsid w:val="00AF6212"/>
    <w:rsid w:val="00B0431A"/>
    <w:rsid w:val="00B0716D"/>
    <w:rsid w:val="00B12AFB"/>
    <w:rsid w:val="00B1476D"/>
    <w:rsid w:val="00B163CD"/>
    <w:rsid w:val="00B43C02"/>
    <w:rsid w:val="00B44BFF"/>
    <w:rsid w:val="00B471FD"/>
    <w:rsid w:val="00B53582"/>
    <w:rsid w:val="00B55290"/>
    <w:rsid w:val="00B56EA6"/>
    <w:rsid w:val="00B646D1"/>
    <w:rsid w:val="00B65DBC"/>
    <w:rsid w:val="00B81D44"/>
    <w:rsid w:val="00B858A2"/>
    <w:rsid w:val="00B95548"/>
    <w:rsid w:val="00BB4948"/>
    <w:rsid w:val="00BB6C2C"/>
    <w:rsid w:val="00BC2D4F"/>
    <w:rsid w:val="00BC3A5A"/>
    <w:rsid w:val="00BC5A12"/>
    <w:rsid w:val="00BC6D0E"/>
    <w:rsid w:val="00BE125D"/>
    <w:rsid w:val="00BE1DAE"/>
    <w:rsid w:val="00BF5283"/>
    <w:rsid w:val="00C06D7E"/>
    <w:rsid w:val="00C10408"/>
    <w:rsid w:val="00C1308E"/>
    <w:rsid w:val="00C15D63"/>
    <w:rsid w:val="00C178CD"/>
    <w:rsid w:val="00C238BD"/>
    <w:rsid w:val="00C41841"/>
    <w:rsid w:val="00C4420B"/>
    <w:rsid w:val="00C4708E"/>
    <w:rsid w:val="00C4715D"/>
    <w:rsid w:val="00C55FBD"/>
    <w:rsid w:val="00C6672C"/>
    <w:rsid w:val="00C70747"/>
    <w:rsid w:val="00C863D9"/>
    <w:rsid w:val="00C94377"/>
    <w:rsid w:val="00CA6987"/>
    <w:rsid w:val="00CA7915"/>
    <w:rsid w:val="00CB22C9"/>
    <w:rsid w:val="00CC70F1"/>
    <w:rsid w:val="00CD1508"/>
    <w:rsid w:val="00CE00FE"/>
    <w:rsid w:val="00CF235F"/>
    <w:rsid w:val="00CF68B9"/>
    <w:rsid w:val="00D14EDB"/>
    <w:rsid w:val="00D163CC"/>
    <w:rsid w:val="00D41650"/>
    <w:rsid w:val="00D449A4"/>
    <w:rsid w:val="00D44ACA"/>
    <w:rsid w:val="00D5011D"/>
    <w:rsid w:val="00D51F4E"/>
    <w:rsid w:val="00D573BF"/>
    <w:rsid w:val="00D57C89"/>
    <w:rsid w:val="00D60753"/>
    <w:rsid w:val="00D80437"/>
    <w:rsid w:val="00D80507"/>
    <w:rsid w:val="00D82C8B"/>
    <w:rsid w:val="00D9318F"/>
    <w:rsid w:val="00DA18BC"/>
    <w:rsid w:val="00DA78E0"/>
    <w:rsid w:val="00DB73E8"/>
    <w:rsid w:val="00DC7852"/>
    <w:rsid w:val="00DD40DE"/>
    <w:rsid w:val="00DE365F"/>
    <w:rsid w:val="00DE596C"/>
    <w:rsid w:val="00DF3C6C"/>
    <w:rsid w:val="00E00C96"/>
    <w:rsid w:val="00E01D70"/>
    <w:rsid w:val="00E059A2"/>
    <w:rsid w:val="00E127AA"/>
    <w:rsid w:val="00E12FEB"/>
    <w:rsid w:val="00E14429"/>
    <w:rsid w:val="00E178D4"/>
    <w:rsid w:val="00E2246E"/>
    <w:rsid w:val="00E40CC3"/>
    <w:rsid w:val="00E42639"/>
    <w:rsid w:val="00E5764B"/>
    <w:rsid w:val="00E60370"/>
    <w:rsid w:val="00E6407F"/>
    <w:rsid w:val="00E64D28"/>
    <w:rsid w:val="00E654CB"/>
    <w:rsid w:val="00E7199D"/>
    <w:rsid w:val="00E729B2"/>
    <w:rsid w:val="00E77CCB"/>
    <w:rsid w:val="00E87932"/>
    <w:rsid w:val="00E87DA8"/>
    <w:rsid w:val="00EA532E"/>
    <w:rsid w:val="00EA6A2D"/>
    <w:rsid w:val="00EB017A"/>
    <w:rsid w:val="00EB54DE"/>
    <w:rsid w:val="00EB7BFB"/>
    <w:rsid w:val="00ED1CD2"/>
    <w:rsid w:val="00EE1005"/>
    <w:rsid w:val="00EE15D4"/>
    <w:rsid w:val="00EF2D8D"/>
    <w:rsid w:val="00F00815"/>
    <w:rsid w:val="00F12EF1"/>
    <w:rsid w:val="00F3227B"/>
    <w:rsid w:val="00F37F96"/>
    <w:rsid w:val="00F4602B"/>
    <w:rsid w:val="00F476E8"/>
    <w:rsid w:val="00F60671"/>
    <w:rsid w:val="00F81EE4"/>
    <w:rsid w:val="00F90CFF"/>
    <w:rsid w:val="00F92828"/>
    <w:rsid w:val="00F93CFD"/>
    <w:rsid w:val="00F94E1B"/>
    <w:rsid w:val="00FB059E"/>
    <w:rsid w:val="00FB616D"/>
    <w:rsid w:val="00FC5C26"/>
    <w:rsid w:val="00FD3E93"/>
    <w:rsid w:val="0210686E"/>
    <w:rsid w:val="024E08E6"/>
    <w:rsid w:val="059D2552"/>
    <w:rsid w:val="061C4F96"/>
    <w:rsid w:val="061F7430"/>
    <w:rsid w:val="0B6B16F0"/>
    <w:rsid w:val="0D750B98"/>
    <w:rsid w:val="0ED629B7"/>
    <w:rsid w:val="0F03104E"/>
    <w:rsid w:val="0F8B1893"/>
    <w:rsid w:val="126479A7"/>
    <w:rsid w:val="12745407"/>
    <w:rsid w:val="136038FD"/>
    <w:rsid w:val="13735CDF"/>
    <w:rsid w:val="14EA31BA"/>
    <w:rsid w:val="156772B6"/>
    <w:rsid w:val="157D37D3"/>
    <w:rsid w:val="15A43820"/>
    <w:rsid w:val="16DD44E9"/>
    <w:rsid w:val="16E172C2"/>
    <w:rsid w:val="19055C74"/>
    <w:rsid w:val="1C5F5F89"/>
    <w:rsid w:val="1CBC1BD3"/>
    <w:rsid w:val="1D3B1607"/>
    <w:rsid w:val="1DA35BF9"/>
    <w:rsid w:val="20E4005E"/>
    <w:rsid w:val="218944CA"/>
    <w:rsid w:val="224315A6"/>
    <w:rsid w:val="22BF3546"/>
    <w:rsid w:val="22F974CA"/>
    <w:rsid w:val="25C21157"/>
    <w:rsid w:val="26A67020"/>
    <w:rsid w:val="274F0F42"/>
    <w:rsid w:val="2A3F3DE9"/>
    <w:rsid w:val="2A43777E"/>
    <w:rsid w:val="2CB20EFE"/>
    <w:rsid w:val="2E9E1E3F"/>
    <w:rsid w:val="2F1537F6"/>
    <w:rsid w:val="3065477A"/>
    <w:rsid w:val="32417B76"/>
    <w:rsid w:val="32D254BE"/>
    <w:rsid w:val="34490923"/>
    <w:rsid w:val="377B3CDD"/>
    <w:rsid w:val="3B54341B"/>
    <w:rsid w:val="3B561106"/>
    <w:rsid w:val="3BFC72CF"/>
    <w:rsid w:val="3D283BAB"/>
    <w:rsid w:val="3DD60B0F"/>
    <w:rsid w:val="3E845569"/>
    <w:rsid w:val="3EC821AB"/>
    <w:rsid w:val="3EE3611F"/>
    <w:rsid w:val="3FFC704C"/>
    <w:rsid w:val="404909FF"/>
    <w:rsid w:val="40F46009"/>
    <w:rsid w:val="42AE1A77"/>
    <w:rsid w:val="432C5013"/>
    <w:rsid w:val="44091B02"/>
    <w:rsid w:val="44983E14"/>
    <w:rsid w:val="44BA4DB3"/>
    <w:rsid w:val="450F0362"/>
    <w:rsid w:val="46A652C0"/>
    <w:rsid w:val="478C2210"/>
    <w:rsid w:val="47CD57D8"/>
    <w:rsid w:val="4B935AED"/>
    <w:rsid w:val="4CB75AA4"/>
    <w:rsid w:val="4CD7788D"/>
    <w:rsid w:val="4D8444B9"/>
    <w:rsid w:val="4DEE69F9"/>
    <w:rsid w:val="4F820B3D"/>
    <w:rsid w:val="509C0CE7"/>
    <w:rsid w:val="546E3EA7"/>
    <w:rsid w:val="561C4666"/>
    <w:rsid w:val="56E348DB"/>
    <w:rsid w:val="57D902EB"/>
    <w:rsid w:val="57EE146E"/>
    <w:rsid w:val="59C24248"/>
    <w:rsid w:val="5A706300"/>
    <w:rsid w:val="5C420C55"/>
    <w:rsid w:val="601C396A"/>
    <w:rsid w:val="63223121"/>
    <w:rsid w:val="636A3E6C"/>
    <w:rsid w:val="639603E0"/>
    <w:rsid w:val="63FC70D8"/>
    <w:rsid w:val="65490CD8"/>
    <w:rsid w:val="659C2D5B"/>
    <w:rsid w:val="67DFB0EE"/>
    <w:rsid w:val="68E54E95"/>
    <w:rsid w:val="6962712B"/>
    <w:rsid w:val="69ED127A"/>
    <w:rsid w:val="6A8F0D26"/>
    <w:rsid w:val="6B9A77FA"/>
    <w:rsid w:val="6E4062FB"/>
    <w:rsid w:val="6FE7D3F7"/>
    <w:rsid w:val="72FD7ED4"/>
    <w:rsid w:val="74653F0C"/>
    <w:rsid w:val="76B17CFD"/>
    <w:rsid w:val="76BF1F8C"/>
    <w:rsid w:val="76CD1FE7"/>
    <w:rsid w:val="76F55597"/>
    <w:rsid w:val="772C5060"/>
    <w:rsid w:val="77FB7702"/>
    <w:rsid w:val="78A629C3"/>
    <w:rsid w:val="7BD25361"/>
    <w:rsid w:val="7C06584F"/>
    <w:rsid w:val="7C71CF20"/>
    <w:rsid w:val="7D780AAA"/>
    <w:rsid w:val="7FFFDE82"/>
    <w:rsid w:val="95EBEFCA"/>
    <w:rsid w:val="A6BA6A74"/>
    <w:rsid w:val="BFFE2381"/>
    <w:rsid w:val="DB9ECCDB"/>
    <w:rsid w:val="E5BC94AB"/>
    <w:rsid w:val="E77F21E0"/>
    <w:rsid w:val="E92B6BF2"/>
    <w:rsid w:val="EF03ADE5"/>
    <w:rsid w:val="F5B24BCE"/>
    <w:rsid w:val="F5FB2A4E"/>
    <w:rsid w:val="F9F8E776"/>
    <w:rsid w:val="FFD5F12C"/>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31"/>
    <w:semiHidden/>
    <w:unhideWhenUsed/>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rPr>
      <w:kern w:val="0"/>
    </w:rPr>
  </w:style>
  <w:style w:type="paragraph" w:styleId="5">
    <w:name w:val="annotation text"/>
    <w:basedOn w:val="1"/>
    <w:semiHidden/>
    <w:qFormat/>
    <w:uiPriority w:val="0"/>
    <w:pPr>
      <w:jc w:val="left"/>
    </w:pPr>
  </w:style>
  <w:style w:type="paragraph" w:styleId="6">
    <w:name w:val="index 6"/>
    <w:basedOn w:val="1"/>
    <w:next w:val="1"/>
    <w:qFormat/>
    <w:uiPriority w:val="0"/>
    <w:pPr>
      <w:widowControl/>
    </w:pPr>
    <w:rPr>
      <w:kern w:val="0"/>
      <w:szCs w:val="20"/>
    </w:rPr>
  </w:style>
  <w:style w:type="paragraph" w:styleId="7">
    <w:name w:val="Salutation"/>
    <w:basedOn w:val="1"/>
    <w:next w:val="1"/>
    <w:qFormat/>
    <w:uiPriority w:val="0"/>
    <w:rPr>
      <w:rFonts w:ascii="仿宋_GB2312" w:hAnsi="宋体" w:eastAsia="仿宋_GB2312"/>
      <w:sz w:val="28"/>
      <w:szCs w:val="28"/>
    </w:rPr>
  </w:style>
  <w:style w:type="paragraph" w:styleId="8">
    <w:name w:val="Closing"/>
    <w:basedOn w:val="1"/>
    <w:qFormat/>
    <w:uiPriority w:val="0"/>
    <w:pPr>
      <w:ind w:left="100" w:leftChars="2100"/>
    </w:pPr>
    <w:rPr>
      <w:rFonts w:ascii="仿宋_GB2312" w:hAnsi="宋体" w:eastAsia="仿宋_GB2312"/>
      <w:sz w:val="28"/>
      <w:szCs w:val="28"/>
    </w:rPr>
  </w:style>
  <w:style w:type="paragraph" w:styleId="9">
    <w:name w:val="Body Text"/>
    <w:basedOn w:val="1"/>
    <w:qFormat/>
    <w:uiPriority w:val="0"/>
    <w:rPr>
      <w:szCs w:val="21"/>
      <w:lang w:val="zh-CN"/>
    </w:rPr>
  </w:style>
  <w:style w:type="paragraph" w:styleId="10">
    <w:name w:val="Body Text Indent"/>
    <w:basedOn w:val="1"/>
    <w:link w:val="33"/>
    <w:qFormat/>
    <w:uiPriority w:val="0"/>
    <w:pPr>
      <w:spacing w:line="400" w:lineRule="atLeast"/>
      <w:ind w:firstLine="480"/>
    </w:pPr>
    <w:rPr>
      <w:sz w:val="28"/>
    </w:rPr>
  </w:style>
  <w:style w:type="paragraph" w:styleId="11">
    <w:name w:val="toc 3"/>
    <w:basedOn w:val="1"/>
    <w:next w:val="1"/>
    <w:qFormat/>
    <w:uiPriority w:val="0"/>
    <w:pPr>
      <w:spacing w:line="600" w:lineRule="exact"/>
      <w:ind w:firstLine="640" w:firstLineChars="200"/>
      <w:jc w:val="left"/>
    </w:pPr>
    <w:rPr>
      <w:rFonts w:ascii="楷体_GB2312" w:hAnsi="楷体" w:eastAsia="楷体_GB2312" w:cs="仿宋"/>
      <w:sz w:val="32"/>
      <w:szCs w:val="32"/>
    </w:rPr>
  </w:style>
  <w:style w:type="paragraph" w:styleId="12">
    <w:name w:val="Plain Text"/>
    <w:basedOn w:val="1"/>
    <w:link w:val="34"/>
    <w:qFormat/>
    <w:uiPriority w:val="0"/>
    <w:rPr>
      <w:rFonts w:ascii="宋体" w:hAnsi="Courier New" w:cs="宋体"/>
      <w:kern w:val="0"/>
      <w:szCs w:val="21"/>
    </w:rPr>
  </w:style>
  <w:style w:type="paragraph" w:styleId="13">
    <w:name w:val="Date"/>
    <w:basedOn w:val="1"/>
    <w:next w:val="1"/>
    <w:qFormat/>
    <w:uiPriority w:val="0"/>
    <w:pPr>
      <w:ind w:leftChars="2500"/>
    </w:pPr>
    <w:rPr>
      <w:sz w:val="28"/>
    </w:rPr>
  </w:style>
  <w:style w:type="paragraph" w:styleId="14">
    <w:name w:val="Balloon Text"/>
    <w:basedOn w:val="1"/>
    <w:semiHidden/>
    <w:qFormat/>
    <w:uiPriority w:val="0"/>
    <w:rPr>
      <w:sz w:val="18"/>
      <w:szCs w:val="18"/>
    </w:rPr>
  </w:style>
  <w:style w:type="paragraph" w:styleId="15">
    <w:name w:val="footer"/>
    <w:basedOn w:val="1"/>
    <w:link w:val="3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footnote text"/>
    <w:basedOn w:val="1"/>
    <w:link w:val="54"/>
    <w:qFormat/>
    <w:uiPriority w:val="0"/>
    <w:pPr>
      <w:snapToGrid w:val="0"/>
      <w:jc w:val="left"/>
    </w:pPr>
    <w:rPr>
      <w:sz w:val="18"/>
      <w:szCs w:val="18"/>
    </w:rPr>
  </w:style>
  <w:style w:type="paragraph" w:styleId="18">
    <w:name w:val="Body Text 2"/>
    <w:basedOn w:val="1"/>
    <w:link w:val="36"/>
    <w:qFormat/>
    <w:uiPriority w:val="0"/>
    <w:pPr>
      <w:spacing w:after="120" w:line="480" w:lineRule="auto"/>
    </w:p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5"/>
    <w:next w:val="5"/>
    <w:semiHidden/>
    <w:qFormat/>
    <w:uiPriority w:val="0"/>
    <w:rPr>
      <w:b/>
      <w:bCs/>
    </w:rPr>
  </w:style>
  <w:style w:type="paragraph" w:styleId="21">
    <w:name w:val="Body Text First Indent"/>
    <w:basedOn w:val="9"/>
    <w:next w:val="6"/>
    <w:qFormat/>
    <w:uiPriority w:val="0"/>
    <w:pPr>
      <w:ind w:firstLine="200" w:firstLineChars="200"/>
    </w:pPr>
    <w:rPr>
      <w:rFonts w:ascii="Times New Roman" w:hAnsi="Times New Roman" w:eastAsia="宋体" w:cs="Arial"/>
    </w:rPr>
  </w:style>
  <w:style w:type="paragraph" w:styleId="22">
    <w:name w:val="Body Text First Indent 2"/>
    <w:basedOn w:val="10"/>
    <w:link w:val="37"/>
    <w:qFormat/>
    <w:uiPriority w:val="0"/>
    <w:pPr>
      <w:spacing w:after="120" w:line="240" w:lineRule="auto"/>
      <w:ind w:left="420" w:leftChars="200" w:firstLine="420" w:firstLineChars="200"/>
    </w:pPr>
    <w:rPr>
      <w:sz w:val="21"/>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rFonts w:hint="default" w:ascii="Times New Roman" w:hAnsi="Times New Roman" w:cs="Times New Roman"/>
      <w:b/>
      <w:bCs/>
    </w:rPr>
  </w:style>
  <w:style w:type="character" w:styleId="27">
    <w:name w:val="page number"/>
    <w:basedOn w:val="25"/>
    <w:qFormat/>
    <w:uiPriority w:val="0"/>
  </w:style>
  <w:style w:type="character" w:styleId="28">
    <w:name w:val="Hyperlink"/>
    <w:basedOn w:val="25"/>
    <w:qFormat/>
    <w:uiPriority w:val="0"/>
    <w:rPr>
      <w:rFonts w:ascii="Times New Roman" w:hAnsi="Times New Roman" w:eastAsia="宋体" w:cs="Times New Roman"/>
      <w:color w:val="0000FF"/>
      <w:u w:val="single"/>
    </w:rPr>
  </w:style>
  <w:style w:type="character" w:styleId="29">
    <w:name w:val="annotation reference"/>
    <w:semiHidden/>
    <w:qFormat/>
    <w:uiPriority w:val="0"/>
    <w:rPr>
      <w:sz w:val="21"/>
      <w:szCs w:val="21"/>
    </w:rPr>
  </w:style>
  <w:style w:type="character" w:styleId="30">
    <w:name w:val="footnote reference"/>
    <w:basedOn w:val="25"/>
    <w:qFormat/>
    <w:uiPriority w:val="0"/>
    <w:rPr>
      <w:rFonts w:ascii="Times New Roman" w:hAnsi="Times New Roman" w:eastAsia="宋体" w:cs="Times New Roman"/>
      <w:vertAlign w:val="superscript"/>
    </w:rPr>
  </w:style>
  <w:style w:type="character" w:customStyle="1" w:styleId="31">
    <w:name w:val="标题 2 Char"/>
    <w:basedOn w:val="25"/>
    <w:link w:val="3"/>
    <w:qFormat/>
    <w:uiPriority w:val="0"/>
    <w:rPr>
      <w:rFonts w:ascii="Luxi Sans" w:hAnsi="Luxi Sans" w:eastAsia="黑体"/>
      <w:b/>
      <w:kern w:val="2"/>
      <w:sz w:val="32"/>
      <w:szCs w:val="24"/>
    </w:rPr>
  </w:style>
  <w:style w:type="character" w:customStyle="1" w:styleId="32">
    <w:name w:val="标题 3 Char"/>
    <w:basedOn w:val="25"/>
    <w:link w:val="4"/>
    <w:semiHidden/>
    <w:qFormat/>
    <w:uiPriority w:val="0"/>
    <w:rPr>
      <w:b/>
      <w:bCs/>
      <w:kern w:val="2"/>
      <w:sz w:val="32"/>
      <w:szCs w:val="32"/>
    </w:rPr>
  </w:style>
  <w:style w:type="character" w:customStyle="1" w:styleId="33">
    <w:name w:val="正文文本缩进 Char"/>
    <w:basedOn w:val="25"/>
    <w:link w:val="10"/>
    <w:qFormat/>
    <w:uiPriority w:val="0"/>
    <w:rPr>
      <w:kern w:val="2"/>
      <w:sz w:val="28"/>
      <w:szCs w:val="24"/>
    </w:rPr>
  </w:style>
  <w:style w:type="character" w:customStyle="1" w:styleId="34">
    <w:name w:val="纯文本 Char"/>
    <w:basedOn w:val="25"/>
    <w:link w:val="12"/>
    <w:qFormat/>
    <w:uiPriority w:val="0"/>
    <w:rPr>
      <w:rFonts w:ascii="宋体" w:hAnsi="Courier New" w:cs="宋体"/>
      <w:sz w:val="21"/>
      <w:szCs w:val="21"/>
    </w:rPr>
  </w:style>
  <w:style w:type="character" w:customStyle="1" w:styleId="35">
    <w:name w:val="页脚 Char"/>
    <w:link w:val="15"/>
    <w:qFormat/>
    <w:uiPriority w:val="99"/>
    <w:rPr>
      <w:kern w:val="2"/>
      <w:sz w:val="18"/>
      <w:szCs w:val="18"/>
    </w:rPr>
  </w:style>
  <w:style w:type="character" w:customStyle="1" w:styleId="36">
    <w:name w:val="正文文本 2 Char"/>
    <w:basedOn w:val="25"/>
    <w:link w:val="18"/>
    <w:qFormat/>
    <w:uiPriority w:val="0"/>
    <w:rPr>
      <w:kern w:val="2"/>
      <w:sz w:val="21"/>
      <w:szCs w:val="24"/>
    </w:rPr>
  </w:style>
  <w:style w:type="character" w:customStyle="1" w:styleId="37">
    <w:name w:val="正文首行缩进 2 Char"/>
    <w:basedOn w:val="33"/>
    <w:link w:val="22"/>
    <w:qFormat/>
    <w:uiPriority w:val="0"/>
  </w:style>
  <w:style w:type="character" w:customStyle="1" w:styleId="38">
    <w:name w:val="纯文本 Char1"/>
    <w:basedOn w:val="25"/>
    <w:qFormat/>
    <w:uiPriority w:val="0"/>
    <w:rPr>
      <w:rFonts w:ascii="宋体" w:hAnsi="Courier New" w:cs="Courier New"/>
      <w:kern w:val="2"/>
      <w:sz w:val="21"/>
      <w:szCs w:val="21"/>
    </w:rPr>
  </w:style>
  <w:style w:type="character" w:customStyle="1" w:styleId="39">
    <w:name w:val="font21"/>
    <w:basedOn w:val="25"/>
    <w:qFormat/>
    <w:uiPriority w:val="0"/>
    <w:rPr>
      <w:rFonts w:hint="eastAsia" w:ascii="宋体" w:hAnsi="宋体" w:eastAsia="宋体" w:cs="宋体"/>
      <w:color w:val="000000"/>
      <w:sz w:val="22"/>
      <w:szCs w:val="22"/>
      <w:u w:val="none"/>
    </w:rPr>
  </w:style>
  <w:style w:type="character" w:customStyle="1" w:styleId="40">
    <w:name w:val="NormalCharacter"/>
    <w:qFormat/>
    <w:uiPriority w:val="0"/>
  </w:style>
  <w:style w:type="character" w:customStyle="1" w:styleId="41">
    <w:name w:val="font11"/>
    <w:basedOn w:val="25"/>
    <w:qFormat/>
    <w:uiPriority w:val="0"/>
    <w:rPr>
      <w:rFonts w:hint="default" w:ascii="Calibri" w:hAnsi="Calibri" w:cs="Calibri"/>
      <w:color w:val="000000"/>
      <w:sz w:val="22"/>
      <w:szCs w:val="22"/>
      <w:u w:val="none"/>
    </w:rPr>
  </w:style>
  <w:style w:type="paragraph" w:customStyle="1" w:styleId="42">
    <w:name w:val="列出段落1"/>
    <w:basedOn w:val="1"/>
    <w:qFormat/>
    <w:uiPriority w:val="99"/>
    <w:pPr>
      <w:ind w:firstLine="420" w:firstLineChars="200"/>
    </w:pPr>
    <w:rPr>
      <w:rFonts w:ascii="Calibri" w:hAnsi="Calibri" w:cs="Calibri"/>
      <w:szCs w:val="21"/>
    </w:rPr>
  </w:style>
  <w:style w:type="paragraph" w:styleId="43">
    <w:name w:val="List Paragraph"/>
    <w:basedOn w:val="1"/>
    <w:qFormat/>
    <w:uiPriority w:val="99"/>
    <w:pPr>
      <w:ind w:firstLine="420" w:firstLineChars="200"/>
    </w:pPr>
    <w:rPr>
      <w:rFonts w:ascii="Calibri" w:hAnsi="Calibri"/>
    </w:rPr>
  </w:style>
  <w:style w:type="paragraph" w:customStyle="1" w:styleId="44">
    <w:name w:val=" Char Char Char Char Char Char Char Char Char Char Char Char Char Char Char Char Char Char Char Char Char Char"/>
    <w:basedOn w:val="1"/>
    <w:qFormat/>
    <w:uiPriority w:val="0"/>
  </w:style>
  <w:style w:type="paragraph" w:customStyle="1" w:styleId="45">
    <w:name w:val="Char Char Char Char"/>
    <w:basedOn w:val="1"/>
    <w:qFormat/>
    <w:uiPriority w:val="0"/>
  </w:style>
  <w:style w:type="paragraph" w:customStyle="1" w:styleId="46">
    <w:name w:val=" Char Char"/>
    <w:basedOn w:val="1"/>
    <w:qFormat/>
    <w:uiPriority w:val="0"/>
  </w:style>
  <w:style w:type="paragraph" w:customStyle="1" w:styleId="47">
    <w:name w:val=" Char Char Char"/>
    <w:basedOn w:val="1"/>
    <w:qFormat/>
    <w:uiPriority w:val="0"/>
  </w:style>
  <w:style w:type="paragraph" w:customStyle="1" w:styleId="48">
    <w:name w:val=" Char Char1"/>
    <w:basedOn w:val="1"/>
    <w:qFormat/>
    <w:uiPriority w:val="0"/>
  </w:style>
  <w:style w:type="paragraph" w:customStyle="1" w:styleId="49">
    <w:name w:val="reader-word-layer"/>
    <w:basedOn w:val="6"/>
    <w:qFormat/>
    <w:uiPriority w:val="0"/>
    <w:pPr>
      <w:spacing w:before="100" w:beforeAutospacing="1" w:after="100" w:afterAutospacing="1"/>
      <w:jc w:val="left"/>
    </w:pPr>
    <w:rPr>
      <w:rFonts w:ascii="宋体" w:hAnsi="宋体" w:cs="宋体"/>
      <w:sz w:val="24"/>
      <w:szCs w:val="24"/>
    </w:rPr>
  </w:style>
  <w:style w:type="paragraph" w:customStyle="1" w:styleId="50">
    <w:name w:val="Char Char Char"/>
    <w:basedOn w:val="1"/>
    <w:qFormat/>
    <w:uiPriority w:val="0"/>
    <w:pPr>
      <w:autoSpaceDE w:val="0"/>
      <w:adjustRightInd w:val="0"/>
      <w:snapToGrid w:val="0"/>
      <w:spacing w:beforeLines="50" w:line="360" w:lineRule="auto"/>
      <w:ind w:left="200" w:leftChars="200" w:firstLine="482"/>
      <w:outlineLvl w:val="0"/>
    </w:pPr>
    <w:rPr>
      <w:rFonts w:ascii="宋体" w:hAnsi="宋体" w:cs="宋体"/>
      <w:kern w:val="0"/>
      <w:szCs w:val="20"/>
    </w:rPr>
  </w:style>
  <w:style w:type="paragraph" w:customStyle="1" w:styleId="51">
    <w:name w:val="正文0"/>
    <w:basedOn w:val="1"/>
    <w:qFormat/>
    <w:uiPriority w:val="0"/>
    <w:pPr>
      <w:spacing w:line="560" w:lineRule="exact"/>
      <w:ind w:firstLine="640" w:firstLineChars="200"/>
    </w:pPr>
    <w:rPr>
      <w:rFonts w:ascii="仿宋" w:hAnsi="仿宋" w:eastAsia="仿宋_GB2312"/>
      <w:color w:val="000000"/>
      <w:kern w:val="0"/>
      <w:sz w:val="32"/>
      <w:szCs w:val="20"/>
    </w:rPr>
  </w:style>
  <w:style w:type="paragraph" w:customStyle="1" w:styleId="52">
    <w:name w:val="00_基本正文"/>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53">
    <w:name w:val="Char Char Char Char Char Char Char Char Char Char Char Char Char Char Char Char Char Char Char Char Char Char"/>
    <w:basedOn w:val="1"/>
    <w:qFormat/>
    <w:uiPriority w:val="0"/>
  </w:style>
  <w:style w:type="character" w:customStyle="1" w:styleId="54">
    <w:name w:val="脚注文本 Char"/>
    <w:basedOn w:val="25"/>
    <w:link w:val="17"/>
    <w:qFormat/>
    <w:uiPriority w:val="0"/>
    <w:rPr>
      <w:rFonts w:ascii="Times New Roman" w:hAnsi="Times New Roman" w:eastAsia="宋体" w:cs="Times New Roman"/>
      <w:sz w:val="18"/>
      <w:szCs w:val="18"/>
    </w:rPr>
  </w:style>
  <w:style w:type="paragraph" w:customStyle="1" w:styleId="55">
    <w:name w:val="Char Char"/>
    <w:basedOn w:val="1"/>
    <w:qFormat/>
    <w:uiPriority w:val="0"/>
  </w:style>
  <w:style w:type="paragraph" w:customStyle="1" w:styleId="56">
    <w:name w:val="Char Char1"/>
    <w:basedOn w:val="1"/>
    <w:qFormat/>
    <w:uiPriority w:val="0"/>
  </w:style>
  <w:style w:type="paragraph" w:customStyle="1" w:styleId="57">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 China</Company>
  <Pages>23</Pages>
  <Words>1498</Words>
  <Characters>8543</Characters>
  <Lines>71</Lines>
  <Paragraphs>20</Paragraphs>
  <TotalTime>7</TotalTime>
  <ScaleCrop>false</ScaleCrop>
  <LinksUpToDate>false</LinksUpToDate>
  <CharactersWithSpaces>10021</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2020-08-14T23:17:00Z</dcterms:created>
  <dc:creator>user</dc:creator>
  <cp:lastModifiedBy>王雨婷</cp:lastModifiedBy>
  <cp:lastPrinted>2024-06-02T14:42:00Z</cp:lastPrinted>
  <dcterms:modified xsi:type="dcterms:W3CDTF">2024-06-05T09:49:49Z</dcterms:modified>
  <dc:title>沪知局〔2005〕8号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739BC3CC76AE054C3DC45F66CF645E40</vt:lpwstr>
  </property>
</Properties>
</file>