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color w:val="3A00FF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36"/>
          <w:szCs w:val="36"/>
        </w:rPr>
        <w:t>上海市2024年迎峰度夏有序用电方案列表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right"/>
        <w:textAlignment w:val="auto"/>
        <w:rPr>
          <w:rFonts w:ascii="Times New Roman" w:hAnsi="Times New Roman" w:eastAsia="仿宋_GB2312" w:cs="Times New Roman"/>
          <w:spacing w:val="2"/>
          <w:sz w:val="24"/>
          <w:szCs w:val="24"/>
        </w:rPr>
      </w:pPr>
      <w:r>
        <w:rPr>
          <w:rFonts w:ascii="Times New Roman" w:hAnsi="Times New Roman" w:eastAsia="仿宋_GB2312" w:cs="Times New Roman"/>
          <w:spacing w:val="2"/>
          <w:sz w:val="24"/>
          <w:szCs w:val="24"/>
        </w:rPr>
        <w:t>单位：万千瓦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5310"/>
        <w:gridCol w:w="1256"/>
      </w:tblGrid>
      <w:tr>
        <w:trPr>
          <w:trHeight w:val="312" w:hRule="exact"/>
          <w:tblHeader/>
          <w:jc w:val="center"/>
        </w:trPr>
        <w:tc>
          <w:tcPr>
            <w:tcW w:w="1947" w:type="dxa"/>
            <w:vMerge w:val="restart"/>
            <w:tcBorders>
              <w:top w:val="double" w:color="000000" w:sz="4" w:space="0"/>
              <w:left w:val="doub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310" w:type="dxa"/>
            <w:vMerge w:val="restart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有序用电资源组名称</w:t>
            </w:r>
          </w:p>
        </w:tc>
        <w:tc>
          <w:tcPr>
            <w:tcW w:w="1256" w:type="dxa"/>
            <w:vMerge w:val="restart"/>
            <w:tcBorders>
              <w:top w:val="double" w:color="000000" w:sz="4" w:space="0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最大可降负荷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（万千瓦）</w:t>
            </w:r>
          </w:p>
        </w:tc>
      </w:tr>
      <w:tr>
        <w:trPr>
          <w:trHeight w:val="312" w:hRule="exact"/>
          <w:tblHeader/>
          <w:jc w:val="center"/>
        </w:trPr>
        <w:tc>
          <w:tcPr>
            <w:tcW w:w="1947" w:type="dxa"/>
            <w:vMerge w:val="continue"/>
            <w:tcBorders>
              <w:top w:val="double" w:color="000000" w:sz="4" w:space="0"/>
              <w:left w:val="doub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vMerge w:val="continue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vMerge w:val="continue"/>
            <w:tcBorders>
              <w:top w:val="double" w:color="000000" w:sz="4" w:space="0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rPr>
          <w:trHeight w:val="312" w:hRule="exact"/>
          <w:tblHeader/>
          <w:jc w:val="center"/>
        </w:trPr>
        <w:tc>
          <w:tcPr>
            <w:tcW w:w="1947" w:type="dxa"/>
            <w:vMerge w:val="continue"/>
            <w:tcBorders>
              <w:top w:val="double" w:color="000000" w:sz="4" w:space="0"/>
              <w:left w:val="doub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vMerge w:val="continue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vMerge w:val="continue"/>
            <w:tcBorders>
              <w:top w:val="double" w:color="000000" w:sz="4" w:space="0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第I级方案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宝钢股份公司错峰组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资源组2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金山石化错峰组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资源组3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两高用户错峰组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资源组4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景观灯光及户外广告错峰组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资源组5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临时用电用户错峰组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资源组6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工业类高压用户错峰组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资源组7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商业类高压用户错峰组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第II级方案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资源组8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两高用户避峰组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资源组9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景观灯光及户外广告避峰一组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资源组10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工业类高压用户（4000千瓦及以上）避峰组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资源组11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商业类高压用户（4000千瓦及以上）避峰组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第III级方案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资源组12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景观灯光及户外广告避峰二组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资源组13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工业类高压用户（700至4000千瓦）避峰组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资源组14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商业类高压用户（700至4000千瓦）避峰组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第IV级方案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资源组15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工业类高用户（700千瓦以下）避峰组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资源组16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工业类低压用户避峰组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资源组17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商业类高压用户（700千瓦以下）避峰组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资源组18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商业类低压用户避峰组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第V级方案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资源组19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商业类高压用户轮停组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资源组20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商业类低压用户轮停组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第VI级方案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资源组21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宝钢股份公司轮停组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资源组22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金山石化轮停组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资源组23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两高用户轮停组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资源组24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工业类高压用户轮停组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资源组25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工业类低压用户轮停组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rPr>
          <w:trHeight w:val="283" w:hRule="exact"/>
          <w:jc w:val="center"/>
        </w:trPr>
        <w:tc>
          <w:tcPr>
            <w:tcW w:w="1947" w:type="dxa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doub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有序用电资源组合计</w:t>
            </w:r>
          </w:p>
        </w:tc>
        <w:tc>
          <w:tcPr>
            <w:tcW w:w="1256" w:type="dxa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</w:tr>
    </w:tbl>
    <w:p>
      <w:pPr>
        <w:pStyle w:val="3"/>
      </w:pPr>
    </w:p>
    <w:p>
      <w:pPr>
        <w:spacing w:line="30" w:lineRule="exact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803" w:right="1440" w:bottom="1803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 xml:space="preserve">附表2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36"/>
          <w:szCs w:val="36"/>
        </w:rPr>
        <w:t>上海市2024年迎峰度夏有序用电方案区域调控目标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Times New Roman" w:hAnsi="Times New Roman" w:eastAsia="仿宋_GB2312" w:cs="Times New Roman"/>
          <w:spacing w:val="2"/>
          <w:sz w:val="23"/>
          <w:szCs w:val="23"/>
        </w:rPr>
      </w:pPr>
      <w:r>
        <w:rPr>
          <w:rFonts w:ascii="Times New Roman" w:hAnsi="Times New Roman" w:eastAsia="仿宋_GB2312" w:cs="Times New Roman"/>
          <w:spacing w:val="2"/>
          <w:sz w:val="23"/>
          <w:szCs w:val="23"/>
        </w:rPr>
        <w:t>单位：万千瓦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993"/>
        <w:gridCol w:w="2034"/>
        <w:gridCol w:w="1819"/>
        <w:gridCol w:w="1986"/>
        <w:gridCol w:w="1986"/>
        <w:gridCol w:w="1986"/>
        <w:gridCol w:w="2014"/>
      </w:tblGrid>
      <w:tr>
        <w:trPr>
          <w:trHeight w:val="312" w:hRule="exact"/>
          <w:jc w:val="center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行政区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方案最大调控负荷</w:t>
            </w:r>
          </w:p>
        </w:tc>
        <w:tc>
          <w:tcPr>
            <w:tcW w:w="11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各区各级调控负荷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第Ⅰ级方案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第Ⅱ级方案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第Ⅲ级方案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第Ⅳ级方案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第Ⅴ级方案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第Ⅵ级方案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宝山区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102.13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15.94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23.81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11.83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12.74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13.85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23.96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崇明区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23.10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3.34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4.22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4.15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4.09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2.99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4.30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奉贤区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64.76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9.39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11.49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11.99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11.73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0.71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19.45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虹口区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26.04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2.98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4.81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3.94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5.26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8.26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0.80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黄浦区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43.36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4.90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7.25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8.55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8.92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13.63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0.11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嘉定区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95.35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13.75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16.71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16.96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16.52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16.22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15.18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金山区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51.94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7.46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9.14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9.23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9.07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8.80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8.23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静安区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41.22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6.43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5.78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8.98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8.90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9.44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1.70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闵行区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129.23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19.14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22.00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23.88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20.68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18.99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24.54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浦东新区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294.03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42.08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51.73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52.87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51.08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50.02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46.25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普陀区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25.96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3.47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1.51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6.64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6.49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6.46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1.40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青浦区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56.08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8.03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9.87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9.97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9.82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9.52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8.86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84.93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12.14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14.91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15.03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14.81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14.54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13.50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徐汇区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38.13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4.80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7.43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5.83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8.59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9.49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1.99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杨浦区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31.84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4.62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4.07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4.95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6.22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8.02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3.96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长宁区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29.91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4.53 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5.27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5.23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5.07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9.05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0.76 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宝钢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金山石化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rPr>
          <w:trHeight w:val="312" w:hRule="exac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1200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</w:tr>
    </w:tbl>
    <w:p>
      <w:pPr>
        <w:pStyle w:val="3"/>
      </w:pPr>
    </w:p>
    <w:p>
      <w:pPr>
        <w:rPr>
          <w:rFonts w:ascii="Times New Roman" w:hAnsi="Times New Roman" w:cs="Times New Roman"/>
          <w:sz w:val="16"/>
          <w:szCs w:val="16"/>
        </w:rPr>
        <w:sectPr>
          <w:pgSz w:w="16838" w:h="11906" w:orient="landscape"/>
          <w:pgMar w:top="1440" w:right="1803" w:bottom="1440" w:left="1803" w:header="851" w:footer="992" w:gutter="0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left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附表3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上海市2024年迎峰度夏调控资源分布表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单位：万千瓦</w:t>
      </w:r>
    </w:p>
    <w:tbl>
      <w:tblPr>
        <w:tblStyle w:val="5"/>
        <w:tblW w:w="144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12"/>
        <w:gridCol w:w="578"/>
        <w:gridCol w:w="685"/>
        <w:gridCol w:w="555"/>
        <w:gridCol w:w="630"/>
        <w:gridCol w:w="495"/>
        <w:gridCol w:w="645"/>
        <w:gridCol w:w="540"/>
        <w:gridCol w:w="675"/>
        <w:gridCol w:w="510"/>
        <w:gridCol w:w="720"/>
        <w:gridCol w:w="507"/>
        <w:gridCol w:w="760"/>
        <w:gridCol w:w="578"/>
        <w:gridCol w:w="840"/>
        <w:gridCol w:w="570"/>
        <w:gridCol w:w="840"/>
        <w:gridCol w:w="540"/>
        <w:gridCol w:w="765"/>
        <w:gridCol w:w="585"/>
        <w:gridCol w:w="870"/>
      </w:tblGrid>
      <w:tr>
        <w:trPr>
          <w:trHeight w:val="397" w:hRule="exac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资源组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总负荷</w:t>
            </w:r>
          </w:p>
        </w:tc>
        <w:tc>
          <w:tcPr>
            <w:tcW w:w="12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调控负荷</w:t>
            </w:r>
          </w:p>
        </w:tc>
        <w:tc>
          <w:tcPr>
            <w:tcW w:w="3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有序用电资源统计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错峰资源</w:t>
            </w:r>
          </w:p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避峰资源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轮停资源</w:t>
            </w:r>
          </w:p>
        </w:tc>
      </w:tr>
      <w:tr>
        <w:trPr>
          <w:trHeight w:val="397" w:hRule="exac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错峰资源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避峰资源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轮停资源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第Ⅰ级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第Ⅱ级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第Ⅲ级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第Ⅳ级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第Ⅴ级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第Ⅵ级</w:t>
            </w:r>
          </w:p>
        </w:tc>
      </w:tr>
      <w:tr>
        <w:trPr>
          <w:trHeight w:val="759" w:hRule="exac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可降负荷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累计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占比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可降负荷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资源占比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3"/>
                <w:kern w:val="0"/>
                <w:sz w:val="18"/>
                <w:szCs w:val="18"/>
                <w:lang w:bidi="ar"/>
              </w:rPr>
              <w:t>可降负荷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资源占比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3"/>
                <w:kern w:val="0"/>
                <w:sz w:val="18"/>
                <w:szCs w:val="18"/>
                <w:lang w:bidi="ar"/>
              </w:rPr>
              <w:t>可降负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资源占比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3"/>
                <w:kern w:val="0"/>
                <w:sz w:val="18"/>
                <w:szCs w:val="18"/>
                <w:lang w:bidi="ar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降负荷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累计调节深度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可降负荷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累计调节深度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可降负荷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累计调节深度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可降负荷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累计调节深度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可降负荷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累计调节深度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可降负荷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累计调节深度</w:t>
            </w:r>
          </w:p>
        </w:tc>
      </w:tr>
      <w:tr>
        <w:trPr>
          <w:trHeight w:val="725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宝钢股份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30.00%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30.00%</w:t>
            </w:r>
          </w:p>
        </w:tc>
      </w:tr>
      <w:tr>
        <w:trPr>
          <w:trHeight w:val="545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金山石化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28.33%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11.67%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16.67%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11.67%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11.67%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11.67%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11.67%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11.67%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28.33%</w:t>
            </w:r>
          </w:p>
        </w:tc>
      </w:tr>
      <w:tr>
        <w:trPr>
          <w:trHeight w:val="485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两高用户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51.34%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12.30%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20.32%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18.72%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12.30%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32.62%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32.62%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32.62%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32.62%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51.34%</w:t>
            </w:r>
          </w:p>
        </w:tc>
      </w:tr>
      <w:tr>
        <w:trPr>
          <w:trHeight w:val="340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景观灯光及户外广告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33.33%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66.67%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33.33%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66.67%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</w:tr>
      <w:tr>
        <w:trPr>
          <w:trHeight w:val="340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临时用电用户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53.97%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53.97%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53.97%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53.97%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53.97%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53.97%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53.97%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53.97%</w:t>
            </w:r>
          </w:p>
        </w:tc>
      </w:tr>
      <w:tr>
        <w:trPr>
          <w:trHeight w:val="340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工业类高压用户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58.93%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7.52%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33.42%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17.99%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7.52%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16.91%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29.53%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40.94%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40.94%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58.93%</w:t>
            </w:r>
          </w:p>
        </w:tc>
      </w:tr>
      <w:tr>
        <w:trPr>
          <w:trHeight w:val="340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工业类低压用户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33.33%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13.33%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33.33%</w:t>
            </w:r>
          </w:p>
        </w:tc>
      </w:tr>
      <w:tr>
        <w:trPr>
          <w:trHeight w:val="340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商业类高压用户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73.18%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6.74%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40.30%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26.13%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6.74%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19.26%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33.70%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47.04%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73.18%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73.18%</w:t>
            </w:r>
          </w:p>
        </w:tc>
      </w:tr>
      <w:tr>
        <w:trPr>
          <w:trHeight w:val="340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商业类低压用户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25.33%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12.00%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13.33%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25.33%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25.33%</w:t>
            </w:r>
          </w:p>
        </w:tc>
      </w:tr>
      <w:tr>
        <w:trPr>
          <w:trHeight w:val="465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2055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58.39%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9.73%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29.20%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19.46%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9.73%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19.46%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29.20%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38.93%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48.66%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58.39%</w:t>
            </w:r>
          </w:p>
        </w:tc>
      </w:tr>
    </w:tbl>
    <w:p>
      <w:pPr>
        <w:rPr>
          <w:rFonts w:ascii="Times New Roman" w:hAnsi="Times New Roman" w:cs="Times New Roman"/>
        </w:rPr>
        <w:sectPr>
          <w:pgSz w:w="16838" w:h="11906" w:orient="landscape"/>
          <w:pgMar w:top="1440" w:right="1803" w:bottom="1440" w:left="1803" w:header="851" w:footer="992" w:gutter="0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SimSun">
    <w:panose1 w:val="0201060003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afterLines="220" w:line="432" w:lineRule="auto"/>
      <w:ind w:left="308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epg460Q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zjkMvcD/+EQcZw8&#10;Zeowwk6N8e0yz2nP0nI89XPV47+1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nqYOOtEB&#10;AACjAwAADgAAAAAAAAABACAAAAA4AQAAZHJzL2Uyb0RvYy54bWxQSwUGAAAAAAYABgBZAQAAewUA&#10;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6F34"/>
    <w:rsid w:val="FFE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line="480" w:lineRule="auto"/>
      <w:jc w:val="left"/>
      <w:textAlignment w:val="baseline"/>
    </w:pPr>
    <w:rPr>
      <w:rFonts w:ascii="Calibri" w:hAnsi="Calibri" w:eastAsia="宋体" w:cs="Times New Roman"/>
      <w:snapToGrid w:val="0"/>
      <w:color w:val="000000"/>
      <w:spacing w:val="0"/>
      <w:kern w:val="0"/>
      <w:sz w:val="21"/>
      <w:szCs w:val="24"/>
    </w:rPr>
  </w:style>
  <w:style w:type="paragraph" w:styleId="3">
    <w:name w:val="Normal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spacing w:val="0"/>
      <w:kern w:val="0"/>
      <w:sz w:val="24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2024-07-09T09:56:00Z</dcterms:created>
  <dc:creator>吴莹露</dc:creator>
  <cp:lastModifiedBy>吴莹露</cp:lastModifiedBy>
  <dcterms:modified xsi:type="dcterms:W3CDTF">2024-07-09T09:57:17Z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E7B26257311789BACA988C66A205D57A_41</vt:lpwstr>
  </property>
</Properties>
</file>