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50" w:type="dxa"/>
        <w:jc w:val="center"/>
        <w:tblLayout w:type="fixed"/>
        <w:tblCellMar>
          <w:top w:w="15" w:type="dxa"/>
          <w:bottom w:w="15" w:type="dxa"/>
        </w:tblCellMar>
        <w:tblLook w:val="04A0"/>
      </w:tblPr>
      <w:tblGrid>
        <w:gridCol w:w="1114"/>
        <w:gridCol w:w="1117"/>
        <w:gridCol w:w="1500"/>
        <w:gridCol w:w="670"/>
        <w:gridCol w:w="1186"/>
        <w:gridCol w:w="567"/>
        <w:gridCol w:w="1060"/>
        <w:gridCol w:w="602"/>
        <w:gridCol w:w="1200"/>
        <w:gridCol w:w="634"/>
      </w:tblGrid>
      <w:tr w:rsidR="005A3CD1" w:rsidTr="009D6C0F">
        <w:trPr>
          <w:trHeight w:val="435"/>
          <w:jc w:val="center"/>
        </w:trPr>
        <w:tc>
          <w:tcPr>
            <w:tcW w:w="4401" w:type="dxa"/>
            <w:gridSpan w:val="4"/>
            <w:vAlign w:val="center"/>
          </w:tcPr>
          <w:p w:rsidR="005A3CD1" w:rsidRDefault="005A3CD1" w:rsidP="009D6C0F">
            <w:pPr>
              <w:widowControl/>
              <w:jc w:val="left"/>
              <w:textAlignment w:val="center"/>
              <w:rPr>
                <w:rFonts w:ascii="黑体" w:eastAsia="黑体" w:hAnsi="黑体" w:cs="黑体"/>
                <w:sz w:val="32"/>
                <w:szCs w:val="40"/>
              </w:rPr>
            </w:pPr>
            <w:r>
              <w:rPr>
                <w:rFonts w:ascii="黑体" w:eastAsia="黑体" w:hAnsi="黑体" w:cs="黑体" w:hint="eastAsia"/>
                <w:sz w:val="32"/>
                <w:szCs w:val="40"/>
              </w:rPr>
              <w:t>附件2</w:t>
            </w:r>
          </w:p>
          <w:p w:rsidR="005A3CD1" w:rsidRDefault="005A3CD1" w:rsidP="009D6C0F">
            <w:pPr>
              <w:pStyle w:val="a0"/>
            </w:pPr>
          </w:p>
        </w:tc>
        <w:tc>
          <w:tcPr>
            <w:tcW w:w="1186" w:type="dxa"/>
            <w:vAlign w:val="center"/>
          </w:tcPr>
          <w:p w:rsidR="005A3CD1" w:rsidRDefault="005A3CD1" w:rsidP="009D6C0F">
            <w:pPr>
              <w:rPr>
                <w:rFonts w:ascii="宋体" w:eastAsia="宋体" w:hAnsi="宋体" w:cs="宋体"/>
                <w:color w:val="000000"/>
                <w:sz w:val="24"/>
              </w:rPr>
            </w:pPr>
          </w:p>
        </w:tc>
        <w:tc>
          <w:tcPr>
            <w:tcW w:w="567" w:type="dxa"/>
            <w:vAlign w:val="center"/>
          </w:tcPr>
          <w:p w:rsidR="005A3CD1" w:rsidRDefault="005A3CD1" w:rsidP="009D6C0F">
            <w:pPr>
              <w:rPr>
                <w:rFonts w:ascii="宋体" w:eastAsia="宋体" w:hAnsi="宋体" w:cs="宋体"/>
                <w:color w:val="000000"/>
                <w:sz w:val="24"/>
              </w:rPr>
            </w:pPr>
          </w:p>
        </w:tc>
        <w:tc>
          <w:tcPr>
            <w:tcW w:w="1060" w:type="dxa"/>
            <w:vAlign w:val="center"/>
          </w:tcPr>
          <w:p w:rsidR="005A3CD1" w:rsidRDefault="005A3CD1" w:rsidP="009D6C0F">
            <w:pPr>
              <w:rPr>
                <w:rFonts w:ascii="宋体" w:eastAsia="宋体" w:hAnsi="宋体" w:cs="宋体"/>
                <w:color w:val="000000"/>
                <w:sz w:val="24"/>
              </w:rPr>
            </w:pPr>
          </w:p>
        </w:tc>
        <w:tc>
          <w:tcPr>
            <w:tcW w:w="602" w:type="dxa"/>
            <w:vAlign w:val="center"/>
          </w:tcPr>
          <w:p w:rsidR="005A3CD1" w:rsidRDefault="005A3CD1" w:rsidP="009D6C0F">
            <w:pPr>
              <w:rPr>
                <w:rFonts w:ascii="宋体" w:eastAsia="宋体" w:hAnsi="宋体" w:cs="宋体"/>
                <w:color w:val="000000"/>
                <w:sz w:val="24"/>
              </w:rPr>
            </w:pPr>
          </w:p>
        </w:tc>
        <w:tc>
          <w:tcPr>
            <w:tcW w:w="1200" w:type="dxa"/>
            <w:vAlign w:val="center"/>
          </w:tcPr>
          <w:p w:rsidR="005A3CD1" w:rsidRDefault="005A3CD1" w:rsidP="009D6C0F">
            <w:pPr>
              <w:rPr>
                <w:rFonts w:ascii="宋体" w:eastAsia="宋体" w:hAnsi="宋体" w:cs="宋体"/>
                <w:color w:val="000000"/>
                <w:sz w:val="24"/>
              </w:rPr>
            </w:pPr>
          </w:p>
        </w:tc>
        <w:tc>
          <w:tcPr>
            <w:tcW w:w="634" w:type="dxa"/>
            <w:vAlign w:val="center"/>
          </w:tcPr>
          <w:p w:rsidR="005A3CD1" w:rsidRDefault="005A3CD1" w:rsidP="009D6C0F">
            <w:pPr>
              <w:rPr>
                <w:rFonts w:ascii="宋体" w:eastAsia="宋体" w:hAnsi="宋体" w:cs="宋体"/>
                <w:color w:val="000000"/>
                <w:sz w:val="24"/>
              </w:rPr>
            </w:pPr>
          </w:p>
        </w:tc>
      </w:tr>
      <w:tr w:rsidR="005A3CD1" w:rsidTr="009D6C0F">
        <w:trPr>
          <w:trHeight w:val="795"/>
          <w:jc w:val="center"/>
        </w:trPr>
        <w:tc>
          <w:tcPr>
            <w:tcW w:w="9650" w:type="dxa"/>
            <w:gridSpan w:val="10"/>
            <w:vAlign w:val="center"/>
          </w:tcPr>
          <w:p w:rsidR="005A3CD1" w:rsidRDefault="005A3CD1" w:rsidP="009D6C0F">
            <w:pPr>
              <w:widowControl/>
              <w:adjustRightInd w:val="0"/>
              <w:snapToGrid w:val="0"/>
              <w:spacing w:line="600" w:lineRule="exact"/>
              <w:jc w:val="center"/>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kern w:val="0"/>
                <w:sz w:val="44"/>
                <w:szCs w:val="44"/>
                <w:lang/>
              </w:rPr>
              <w:t>上海市文物系统安全生产</w:t>
            </w:r>
            <w:proofErr w:type="gramStart"/>
            <w:r>
              <w:rPr>
                <w:rFonts w:ascii="方正小标宋简体" w:eastAsia="方正小标宋简体" w:hAnsi="方正小标宋简体" w:cs="方正小标宋简体" w:hint="eastAsia"/>
                <w:color w:val="000000"/>
                <w:kern w:val="0"/>
                <w:sz w:val="44"/>
                <w:szCs w:val="44"/>
                <w:lang/>
              </w:rPr>
              <w:t>治本攻坚</w:t>
            </w:r>
            <w:proofErr w:type="gramEnd"/>
            <w:r>
              <w:rPr>
                <w:rFonts w:ascii="方正小标宋简体" w:eastAsia="方正小标宋简体" w:hAnsi="方正小标宋简体" w:cs="方正小标宋简体" w:hint="eastAsia"/>
                <w:color w:val="000000"/>
                <w:kern w:val="0"/>
                <w:sz w:val="44"/>
                <w:szCs w:val="44"/>
                <w:lang/>
              </w:rPr>
              <w:t>三年行动情况统计表（202_年）</w:t>
            </w:r>
          </w:p>
        </w:tc>
      </w:tr>
      <w:tr w:rsidR="005A3CD1" w:rsidTr="009D6C0F">
        <w:trPr>
          <w:trHeight w:val="420"/>
          <w:jc w:val="center"/>
        </w:trPr>
        <w:tc>
          <w:tcPr>
            <w:tcW w:w="9650" w:type="dxa"/>
            <w:gridSpan w:val="10"/>
            <w:tcBorders>
              <w:bottom w:val="single" w:sz="4" w:space="0" w:color="000000"/>
            </w:tcBorders>
            <w:vAlign w:val="center"/>
          </w:tcPr>
          <w:p w:rsidR="005A3CD1" w:rsidRDefault="005A3CD1" w:rsidP="009D6C0F">
            <w:pPr>
              <w:widowControl/>
              <w:textAlignment w:val="center"/>
              <w:rPr>
                <w:rFonts w:ascii="宋体" w:eastAsia="宋体" w:hAnsi="宋体" w:cs="宋体"/>
                <w:color w:val="000000"/>
                <w:kern w:val="0"/>
                <w:sz w:val="24"/>
                <w:lang/>
              </w:rPr>
            </w:pPr>
          </w:p>
          <w:p w:rsidR="005A3CD1" w:rsidRDefault="005A3CD1" w:rsidP="009D6C0F">
            <w:pPr>
              <w:widowControl/>
              <w:ind w:firstLineChars="200" w:firstLine="480"/>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______________区  （盖章）                            202__年____月___日</w:t>
            </w:r>
          </w:p>
          <w:p w:rsidR="005A3CD1" w:rsidRDefault="005A3CD1" w:rsidP="009D6C0F">
            <w:pPr>
              <w:pStyle w:val="a0"/>
            </w:pPr>
          </w:p>
        </w:tc>
      </w:tr>
      <w:tr w:rsidR="005A3CD1" w:rsidTr="009D6C0F">
        <w:trPr>
          <w:trHeight w:val="1239"/>
          <w:jc w:val="center"/>
        </w:trPr>
        <w:tc>
          <w:tcPr>
            <w:tcW w:w="1114" w:type="dxa"/>
            <w:vMerge w:val="restart"/>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jc w:val="center"/>
              <w:textAlignment w:val="center"/>
              <w:rPr>
                <w:rFonts w:ascii="仿宋_GB2312" w:eastAsia="仿宋_GB2312" w:hAnsi="宋体" w:cs="仿宋_GB2312"/>
                <w:b/>
                <w:color w:val="000000"/>
                <w:sz w:val="28"/>
                <w:szCs w:val="28"/>
              </w:rPr>
            </w:pPr>
            <w:proofErr w:type="gramStart"/>
            <w:r>
              <w:rPr>
                <w:rFonts w:ascii="仿宋_GB2312" w:eastAsia="仿宋_GB2312" w:hAnsi="宋体" w:cs="仿宋_GB2312" w:hint="eastAsia"/>
                <w:b/>
                <w:color w:val="000000"/>
                <w:kern w:val="0"/>
                <w:sz w:val="28"/>
                <w:szCs w:val="28"/>
                <w:lang/>
              </w:rPr>
              <w:t>治本攻坚</w:t>
            </w:r>
            <w:proofErr w:type="gramEnd"/>
            <w:r>
              <w:rPr>
                <w:rFonts w:ascii="仿宋_GB2312" w:eastAsia="仿宋_GB2312" w:hAnsi="宋体" w:cs="仿宋_GB2312" w:hint="eastAsia"/>
                <w:b/>
                <w:color w:val="000000"/>
                <w:kern w:val="0"/>
                <w:sz w:val="28"/>
                <w:szCs w:val="28"/>
                <w:lang/>
              </w:rPr>
              <w:t>事故隐患排查整治情况</w:t>
            </w: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文物博物馆单位自查发现的问题隐患（处）</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4"/>
              </w:rPr>
            </w:pPr>
          </w:p>
        </w:tc>
      </w:tr>
      <w:tr w:rsidR="005A3CD1" w:rsidTr="009D6C0F">
        <w:trPr>
          <w:trHeight w:val="1308"/>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自查发现的问题隐患已整改（处）</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4"/>
              </w:rPr>
            </w:pPr>
          </w:p>
        </w:tc>
      </w:tr>
      <w:tr w:rsidR="005A3CD1" w:rsidTr="009D6C0F">
        <w:trPr>
          <w:trHeight w:val="990"/>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基层文物部门抽查检查中发现的问题隐患（处）</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4"/>
              </w:rPr>
            </w:pPr>
          </w:p>
        </w:tc>
      </w:tr>
      <w:tr w:rsidR="005A3CD1" w:rsidTr="009D6C0F">
        <w:trPr>
          <w:trHeight w:val="1174"/>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抽查检查中发现的问题隐患已整改（处）</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4"/>
              </w:rPr>
            </w:pPr>
          </w:p>
        </w:tc>
      </w:tr>
      <w:tr w:rsidR="005A3CD1" w:rsidTr="009D6C0F">
        <w:trPr>
          <w:trHeight w:val="1308"/>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各级政府挂牌督办的重大隐患（处）</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4"/>
              </w:rPr>
            </w:pPr>
          </w:p>
        </w:tc>
      </w:tr>
      <w:tr w:rsidR="005A3CD1" w:rsidTr="009D6C0F">
        <w:trPr>
          <w:trHeight w:val="1275"/>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挂牌督办的重大隐患已整改（处）</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4"/>
              </w:rPr>
            </w:pPr>
          </w:p>
        </w:tc>
      </w:tr>
      <w:tr w:rsidR="005A3CD1" w:rsidTr="009D6C0F">
        <w:trPr>
          <w:trHeight w:val="1142"/>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约谈通报有关地区及部门（家）</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0"/>
                <w:szCs w:val="20"/>
              </w:rPr>
            </w:pPr>
          </w:p>
        </w:tc>
      </w:tr>
      <w:tr w:rsidR="005A3CD1" w:rsidTr="009D6C0F">
        <w:trPr>
          <w:trHeight w:val="90"/>
          <w:jc w:val="center"/>
        </w:trPr>
        <w:tc>
          <w:tcPr>
            <w:tcW w:w="1114" w:type="dxa"/>
            <w:tcBorders>
              <w:top w:val="nil"/>
              <w:left w:val="nil"/>
              <w:bottom w:val="nil"/>
              <w:right w:val="nil"/>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nil"/>
              <w:left w:val="nil"/>
              <w:bottom w:val="nil"/>
              <w:right w:val="nil"/>
            </w:tcBorders>
            <w:vAlign w:val="center"/>
          </w:tcPr>
          <w:p w:rsidR="005A3CD1" w:rsidRDefault="005A3CD1" w:rsidP="009D6C0F">
            <w:pPr>
              <w:widowControl/>
              <w:jc w:val="center"/>
              <w:textAlignment w:val="center"/>
              <w:rPr>
                <w:rFonts w:ascii="仿宋_GB2312" w:eastAsia="仿宋_GB2312" w:hAnsi="宋体" w:cs="仿宋_GB2312"/>
                <w:b/>
                <w:color w:val="000000"/>
                <w:kern w:val="0"/>
                <w:sz w:val="24"/>
                <w:lang/>
              </w:rPr>
            </w:pPr>
          </w:p>
        </w:tc>
        <w:tc>
          <w:tcPr>
            <w:tcW w:w="5919" w:type="dxa"/>
            <w:gridSpan w:val="7"/>
            <w:tcBorders>
              <w:top w:val="nil"/>
              <w:left w:val="nil"/>
              <w:bottom w:val="nil"/>
              <w:right w:val="nil"/>
            </w:tcBorders>
            <w:vAlign w:val="center"/>
          </w:tcPr>
          <w:p w:rsidR="005A3CD1" w:rsidRDefault="005A3CD1" w:rsidP="009D6C0F">
            <w:pPr>
              <w:jc w:val="center"/>
              <w:rPr>
                <w:rFonts w:ascii="仿宋_GB2312" w:eastAsia="仿宋_GB2312" w:hAnsi="宋体" w:cs="仿宋_GB2312"/>
                <w:b/>
                <w:color w:val="000000"/>
                <w:sz w:val="20"/>
                <w:szCs w:val="20"/>
              </w:rPr>
            </w:pPr>
          </w:p>
          <w:p w:rsidR="005A3CD1" w:rsidRDefault="005A3CD1" w:rsidP="009D6C0F">
            <w:pPr>
              <w:pStyle w:val="a0"/>
              <w:rPr>
                <w:rFonts w:ascii="仿宋_GB2312" w:eastAsia="仿宋_GB2312" w:hAnsi="宋体" w:cs="仿宋_GB2312"/>
                <w:b/>
                <w:sz w:val="20"/>
                <w:szCs w:val="20"/>
              </w:rPr>
            </w:pPr>
          </w:p>
          <w:p w:rsidR="005A3CD1" w:rsidRDefault="005A3CD1" w:rsidP="009D6C0F">
            <w:pPr>
              <w:rPr>
                <w:rFonts w:ascii="仿宋_GB2312" w:eastAsia="仿宋_GB2312" w:hAnsi="宋体" w:cs="仿宋_GB2312"/>
                <w:b/>
                <w:color w:val="000000"/>
                <w:sz w:val="20"/>
                <w:szCs w:val="20"/>
              </w:rPr>
            </w:pPr>
          </w:p>
          <w:p w:rsidR="005A3CD1" w:rsidRDefault="005A3CD1" w:rsidP="009D6C0F">
            <w:pPr>
              <w:pStyle w:val="a0"/>
              <w:rPr>
                <w:rFonts w:ascii="仿宋_GB2312" w:eastAsia="仿宋_GB2312" w:hAnsi="宋体" w:cs="仿宋_GB2312"/>
                <w:b/>
                <w:sz w:val="20"/>
                <w:szCs w:val="20"/>
              </w:rPr>
            </w:pPr>
          </w:p>
          <w:p w:rsidR="005A3CD1" w:rsidRDefault="005A3CD1" w:rsidP="009D6C0F"/>
        </w:tc>
      </w:tr>
      <w:tr w:rsidR="005A3CD1" w:rsidTr="009D6C0F">
        <w:trPr>
          <w:trHeight w:val="298"/>
          <w:jc w:val="center"/>
        </w:trPr>
        <w:tc>
          <w:tcPr>
            <w:tcW w:w="1114" w:type="dxa"/>
            <w:tcBorders>
              <w:top w:val="nil"/>
              <w:left w:val="nil"/>
              <w:bottom w:val="single" w:sz="4" w:space="0" w:color="000000"/>
              <w:right w:val="nil"/>
            </w:tcBorders>
            <w:vAlign w:val="center"/>
          </w:tcPr>
          <w:p w:rsidR="005A3CD1" w:rsidRDefault="005A3CD1" w:rsidP="009D6C0F">
            <w:pPr>
              <w:spacing w:line="460" w:lineRule="exact"/>
              <w:rPr>
                <w:rFonts w:ascii="仿宋_GB2312" w:eastAsia="仿宋_GB2312" w:hAnsi="宋体" w:cs="仿宋_GB2312"/>
                <w:b/>
                <w:color w:val="000000"/>
                <w:sz w:val="28"/>
                <w:szCs w:val="28"/>
              </w:rPr>
            </w:pPr>
          </w:p>
        </w:tc>
        <w:tc>
          <w:tcPr>
            <w:tcW w:w="2617" w:type="dxa"/>
            <w:gridSpan w:val="2"/>
            <w:tcBorders>
              <w:top w:val="nil"/>
              <w:left w:val="nil"/>
              <w:bottom w:val="single" w:sz="4" w:space="0" w:color="000000"/>
              <w:right w:val="nil"/>
            </w:tcBorders>
            <w:vAlign w:val="center"/>
          </w:tcPr>
          <w:p w:rsidR="005A3CD1" w:rsidRDefault="005A3CD1" w:rsidP="009D6C0F">
            <w:pPr>
              <w:widowControl/>
              <w:spacing w:line="460" w:lineRule="exact"/>
              <w:jc w:val="center"/>
              <w:textAlignment w:val="center"/>
              <w:rPr>
                <w:rFonts w:ascii="仿宋_GB2312" w:eastAsia="仿宋_GB2312" w:hAnsi="宋体" w:cs="仿宋_GB2312"/>
                <w:b/>
                <w:color w:val="000000"/>
                <w:kern w:val="0"/>
                <w:sz w:val="24"/>
                <w:lang/>
              </w:rPr>
            </w:pPr>
          </w:p>
        </w:tc>
        <w:tc>
          <w:tcPr>
            <w:tcW w:w="5919" w:type="dxa"/>
            <w:gridSpan w:val="7"/>
            <w:tcBorders>
              <w:top w:val="nil"/>
              <w:left w:val="nil"/>
              <w:bottom w:val="single" w:sz="4" w:space="0" w:color="000000"/>
              <w:right w:val="nil"/>
            </w:tcBorders>
            <w:vAlign w:val="center"/>
          </w:tcPr>
          <w:p w:rsidR="005A3CD1" w:rsidRDefault="005A3CD1" w:rsidP="009D6C0F">
            <w:pPr>
              <w:spacing w:line="460" w:lineRule="exact"/>
            </w:pPr>
          </w:p>
        </w:tc>
      </w:tr>
      <w:tr w:rsidR="005A3CD1" w:rsidTr="009D6C0F">
        <w:trPr>
          <w:trHeight w:val="1935"/>
          <w:jc w:val="center"/>
        </w:trPr>
        <w:tc>
          <w:tcPr>
            <w:tcW w:w="1114" w:type="dxa"/>
            <w:vMerge w:val="restart"/>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textAlignment w:val="center"/>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lang/>
              </w:rPr>
              <w:t>不同类型单位、场所情况及检查发现问题隐患</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文物建筑火灾风险隐患</w:t>
            </w:r>
          </w:p>
        </w:tc>
        <w:tc>
          <w:tcPr>
            <w:tcW w:w="150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未配齐安全管理人员（处）</w:t>
            </w:r>
          </w:p>
        </w:tc>
        <w:tc>
          <w:tcPr>
            <w:tcW w:w="67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仿宋_GB2312" w:eastAsia="仿宋_GB2312" w:hAnsi="宋体" w:cs="仿宋_GB2312"/>
                <w:b/>
                <w:color w:val="000000"/>
                <w:sz w:val="24"/>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安全管理人员不会使用消防、安防设备（处）</w:t>
            </w:r>
          </w:p>
        </w:tc>
        <w:tc>
          <w:tcPr>
            <w:tcW w:w="567"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宋体" w:eastAsia="宋体" w:hAnsi="宋体" w:cs="宋体"/>
                <w:color w:val="000000"/>
                <w:sz w:val="24"/>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缺乏消防水源或消防水量和水压严重不足（处）</w:t>
            </w:r>
          </w:p>
        </w:tc>
        <w:tc>
          <w:tcPr>
            <w:tcW w:w="602"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宋体" w:eastAsia="宋体" w:hAnsi="宋体" w:cs="宋体"/>
                <w:color w:val="000000"/>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消防通道、安全出口、疏散通道被占堵（处）</w:t>
            </w:r>
          </w:p>
        </w:tc>
        <w:tc>
          <w:tcPr>
            <w:tcW w:w="634"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宋体" w:eastAsia="宋体" w:hAnsi="宋体" w:cs="宋体"/>
                <w:color w:val="000000"/>
                <w:sz w:val="24"/>
              </w:rPr>
            </w:pPr>
          </w:p>
        </w:tc>
      </w:tr>
      <w:tr w:rsidR="005A3CD1" w:rsidTr="009D6C0F">
        <w:trPr>
          <w:trHeight w:val="1441"/>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8"/>
                <w:szCs w:val="28"/>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违规使用超负荷大功率电热器具（处）</w:t>
            </w:r>
          </w:p>
        </w:tc>
        <w:tc>
          <w:tcPr>
            <w:tcW w:w="67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仿宋_GB2312" w:eastAsia="仿宋_GB2312" w:hAnsi="宋体" w:cs="仿宋_GB2312"/>
                <w:b/>
                <w:color w:val="000000"/>
                <w:sz w:val="24"/>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明敷电气线路未穿管保护、线路老化、破损（处）</w:t>
            </w:r>
          </w:p>
        </w:tc>
        <w:tc>
          <w:tcPr>
            <w:tcW w:w="567"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宋体" w:eastAsia="宋体" w:hAnsi="宋体" w:cs="宋体"/>
                <w:color w:val="000000"/>
                <w:sz w:val="24"/>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在室内为电动车辆、蓄电池充电（处）</w:t>
            </w:r>
          </w:p>
        </w:tc>
        <w:tc>
          <w:tcPr>
            <w:tcW w:w="602"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宋体" w:eastAsia="宋体" w:hAnsi="宋体" w:cs="宋体"/>
                <w:color w:val="000000"/>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将灯具直接敷设在文物建筑上（处）</w:t>
            </w:r>
          </w:p>
        </w:tc>
        <w:tc>
          <w:tcPr>
            <w:tcW w:w="634"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宋体" w:eastAsia="宋体" w:hAnsi="宋体" w:cs="宋体"/>
                <w:color w:val="000000"/>
                <w:sz w:val="24"/>
              </w:rPr>
            </w:pPr>
          </w:p>
        </w:tc>
      </w:tr>
      <w:tr w:rsidR="005A3CD1" w:rsidTr="009D6C0F">
        <w:trPr>
          <w:trHeight w:val="1051"/>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8"/>
                <w:szCs w:val="28"/>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违规使用明火（处）</w:t>
            </w:r>
          </w:p>
        </w:tc>
        <w:tc>
          <w:tcPr>
            <w:tcW w:w="67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仿宋_GB2312" w:eastAsia="仿宋_GB2312" w:hAnsi="宋体" w:cs="仿宋_GB2312"/>
                <w:b/>
                <w:color w:val="000000"/>
                <w:sz w:val="24"/>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向公众开放区域未全面禁止吸烟（处）</w:t>
            </w:r>
          </w:p>
        </w:tc>
        <w:tc>
          <w:tcPr>
            <w:tcW w:w="567"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宋体" w:eastAsia="宋体" w:hAnsi="宋体" w:cs="宋体"/>
                <w:color w:val="000000"/>
                <w:sz w:val="24"/>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生产、使用、储存和经营易燃易爆危险品（处）</w:t>
            </w:r>
          </w:p>
        </w:tc>
        <w:tc>
          <w:tcPr>
            <w:tcW w:w="602"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宋体" w:eastAsia="宋体" w:hAnsi="宋体" w:cs="宋体"/>
                <w:color w:val="000000"/>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燃放烟花爆竹（处）</w:t>
            </w:r>
          </w:p>
        </w:tc>
        <w:tc>
          <w:tcPr>
            <w:tcW w:w="634"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宋体" w:eastAsia="宋体" w:hAnsi="宋体" w:cs="宋体"/>
                <w:color w:val="000000"/>
                <w:sz w:val="24"/>
              </w:rPr>
            </w:pPr>
          </w:p>
        </w:tc>
      </w:tr>
      <w:tr w:rsidR="005A3CD1" w:rsidTr="009D6C0F">
        <w:trPr>
          <w:trHeight w:val="1861"/>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8"/>
                <w:szCs w:val="28"/>
              </w:rPr>
            </w:pP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文物保护工程火灾风险隐患</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工程数量（处）</w:t>
            </w:r>
          </w:p>
        </w:tc>
        <w:tc>
          <w:tcPr>
            <w:tcW w:w="670" w:type="dxa"/>
            <w:vMerge w:val="restart"/>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4"/>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未经安全培训、未取得相关证书的人员在特种作业岗位上岗作业（处）</w:t>
            </w:r>
          </w:p>
        </w:tc>
        <w:tc>
          <w:tcPr>
            <w:tcW w:w="567"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仿宋_GB2312" w:eastAsia="仿宋_GB2312" w:hAnsi="宋体" w:cs="仿宋_GB2312"/>
                <w:b/>
                <w:color w:val="000000"/>
                <w:sz w:val="24"/>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未严格履行动火作业审批手续（处）</w:t>
            </w:r>
          </w:p>
        </w:tc>
        <w:tc>
          <w:tcPr>
            <w:tcW w:w="602"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仿宋_GB2312" w:eastAsia="仿宋_GB2312" w:hAnsi="宋体" w:cs="仿宋_GB2312"/>
                <w:b/>
                <w:color w:val="000000"/>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未对电气焊设备进行全面安全检查（处）</w:t>
            </w:r>
          </w:p>
        </w:tc>
        <w:tc>
          <w:tcPr>
            <w:tcW w:w="634"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宋体" w:eastAsia="宋体" w:hAnsi="宋体" w:cs="宋体"/>
                <w:color w:val="000000"/>
                <w:sz w:val="24"/>
              </w:rPr>
            </w:pPr>
          </w:p>
        </w:tc>
      </w:tr>
      <w:tr w:rsidR="005A3CD1" w:rsidTr="009D6C0F">
        <w:trPr>
          <w:trHeight w:val="2011"/>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8"/>
                <w:szCs w:val="28"/>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4"/>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4"/>
              </w:rPr>
            </w:pPr>
          </w:p>
        </w:tc>
        <w:tc>
          <w:tcPr>
            <w:tcW w:w="670"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4"/>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未开展岗前安全警示教育（处）</w:t>
            </w:r>
          </w:p>
        </w:tc>
        <w:tc>
          <w:tcPr>
            <w:tcW w:w="567"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仿宋_GB2312" w:eastAsia="仿宋_GB2312" w:hAnsi="宋体" w:cs="仿宋_GB2312"/>
                <w:b/>
                <w:color w:val="000000"/>
                <w:sz w:val="24"/>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现场可燃物品随意堆放（处）</w:t>
            </w:r>
          </w:p>
        </w:tc>
        <w:tc>
          <w:tcPr>
            <w:tcW w:w="602"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仿宋_GB2312" w:eastAsia="仿宋_GB2312" w:hAnsi="宋体" w:cs="仿宋_GB2312"/>
                <w:b/>
                <w:color w:val="000000"/>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未对危险区域和部位采取加固、支护、围挡等安全措施（处）</w:t>
            </w:r>
          </w:p>
        </w:tc>
        <w:tc>
          <w:tcPr>
            <w:tcW w:w="634"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宋体" w:eastAsia="宋体" w:hAnsi="宋体" w:cs="宋体"/>
                <w:color w:val="000000"/>
                <w:sz w:val="24"/>
              </w:rPr>
            </w:pPr>
          </w:p>
        </w:tc>
      </w:tr>
      <w:tr w:rsidR="005A3CD1" w:rsidTr="009D6C0F">
        <w:trPr>
          <w:trHeight w:val="2281"/>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8"/>
                <w:szCs w:val="28"/>
              </w:rPr>
            </w:pP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考古发掘工地火灾风险隐患</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工地数量（处）</w:t>
            </w:r>
          </w:p>
        </w:tc>
        <w:tc>
          <w:tcPr>
            <w:tcW w:w="670" w:type="dxa"/>
            <w:vMerge w:val="restart"/>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4"/>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未经安全培训、未取得相关证书的人员在特种作业岗位上岗作业（处）</w:t>
            </w:r>
          </w:p>
        </w:tc>
        <w:tc>
          <w:tcPr>
            <w:tcW w:w="567"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仿宋_GB2312" w:eastAsia="仿宋_GB2312" w:hAnsi="宋体" w:cs="仿宋_GB2312"/>
                <w:b/>
                <w:color w:val="000000"/>
                <w:sz w:val="24"/>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未严格履行动火作业审批手续（处）</w:t>
            </w:r>
          </w:p>
        </w:tc>
        <w:tc>
          <w:tcPr>
            <w:tcW w:w="602"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仿宋_GB2312" w:eastAsia="仿宋_GB2312" w:hAnsi="宋体" w:cs="仿宋_GB2312"/>
                <w:b/>
                <w:color w:val="000000"/>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未对电气焊设备进行全面安全检查（处）</w:t>
            </w:r>
          </w:p>
        </w:tc>
        <w:tc>
          <w:tcPr>
            <w:tcW w:w="634"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宋体" w:eastAsia="宋体" w:hAnsi="宋体" w:cs="宋体"/>
                <w:color w:val="000000"/>
                <w:sz w:val="24"/>
              </w:rPr>
            </w:pPr>
          </w:p>
        </w:tc>
      </w:tr>
      <w:tr w:rsidR="005A3CD1" w:rsidTr="009D6C0F">
        <w:trPr>
          <w:trHeight w:val="1247"/>
          <w:jc w:val="center"/>
        </w:trPr>
        <w:tc>
          <w:tcPr>
            <w:tcW w:w="1114" w:type="dxa"/>
            <w:vMerge/>
            <w:tcBorders>
              <w:top w:val="single" w:sz="4" w:space="0" w:color="000000"/>
              <w:left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8"/>
                <w:szCs w:val="28"/>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4"/>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4"/>
              </w:rPr>
            </w:pPr>
          </w:p>
        </w:tc>
        <w:tc>
          <w:tcPr>
            <w:tcW w:w="670"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4"/>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未开展岗前安全警示教育（处）</w:t>
            </w:r>
          </w:p>
        </w:tc>
        <w:tc>
          <w:tcPr>
            <w:tcW w:w="567"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仿宋_GB2312" w:eastAsia="仿宋_GB2312" w:hAnsi="宋体" w:cs="仿宋_GB2312"/>
                <w:b/>
                <w:color w:val="000000"/>
                <w:sz w:val="24"/>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现场可燃物品随意堆放（处）</w:t>
            </w:r>
          </w:p>
        </w:tc>
        <w:tc>
          <w:tcPr>
            <w:tcW w:w="602"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仿宋_GB2312" w:eastAsia="仿宋_GB2312" w:hAnsi="宋体" w:cs="仿宋_GB2312"/>
                <w:b/>
                <w:color w:val="000000"/>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未对危险区域和部位采取加固、支护、围挡等安全措施（处）</w:t>
            </w:r>
          </w:p>
        </w:tc>
        <w:tc>
          <w:tcPr>
            <w:tcW w:w="634"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宋体" w:eastAsia="宋体" w:hAnsi="宋体" w:cs="宋体"/>
                <w:color w:val="000000"/>
                <w:sz w:val="24"/>
              </w:rPr>
            </w:pPr>
          </w:p>
        </w:tc>
      </w:tr>
      <w:tr w:rsidR="005A3CD1" w:rsidTr="009D6C0F">
        <w:trPr>
          <w:trHeight w:val="1680"/>
          <w:jc w:val="center"/>
        </w:trPr>
        <w:tc>
          <w:tcPr>
            <w:tcW w:w="1114" w:type="dxa"/>
            <w:vMerge/>
            <w:tcBorders>
              <w:top w:val="single" w:sz="4" w:space="0" w:color="000000"/>
              <w:left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8"/>
                <w:szCs w:val="28"/>
              </w:rPr>
            </w:pP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新建改建博物馆工地火灾风险隐患</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工地数量（处）</w:t>
            </w:r>
          </w:p>
        </w:tc>
        <w:tc>
          <w:tcPr>
            <w:tcW w:w="670" w:type="dxa"/>
            <w:vMerge w:val="restart"/>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4"/>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未经安全培训、未取得相关证书的人员在特种作业岗位上岗作业（处）</w:t>
            </w:r>
          </w:p>
        </w:tc>
        <w:tc>
          <w:tcPr>
            <w:tcW w:w="567"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仿宋_GB2312" w:eastAsia="仿宋_GB2312" w:hAnsi="宋体" w:cs="仿宋_GB2312"/>
                <w:b/>
                <w:color w:val="000000"/>
                <w:sz w:val="24"/>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未严格履行动火作业审批手续（处）</w:t>
            </w:r>
          </w:p>
        </w:tc>
        <w:tc>
          <w:tcPr>
            <w:tcW w:w="602"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仿宋_GB2312" w:eastAsia="仿宋_GB2312" w:hAnsi="宋体" w:cs="仿宋_GB2312"/>
                <w:b/>
                <w:color w:val="000000"/>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未对电气焊设备进行全面安全检查（处）</w:t>
            </w:r>
          </w:p>
        </w:tc>
        <w:tc>
          <w:tcPr>
            <w:tcW w:w="634"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宋体" w:eastAsia="宋体" w:hAnsi="宋体" w:cs="宋体"/>
                <w:color w:val="000000"/>
                <w:sz w:val="24"/>
              </w:rPr>
            </w:pPr>
          </w:p>
        </w:tc>
      </w:tr>
      <w:tr w:rsidR="005A3CD1" w:rsidTr="009D6C0F">
        <w:trPr>
          <w:trHeight w:val="1346"/>
          <w:jc w:val="center"/>
        </w:trPr>
        <w:tc>
          <w:tcPr>
            <w:tcW w:w="1114" w:type="dxa"/>
            <w:vMerge/>
            <w:tcBorders>
              <w:top w:val="single" w:sz="4" w:space="0" w:color="000000"/>
              <w:left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8"/>
                <w:szCs w:val="28"/>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4"/>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4"/>
              </w:rPr>
            </w:pPr>
          </w:p>
        </w:tc>
        <w:tc>
          <w:tcPr>
            <w:tcW w:w="670"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4"/>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未开展岗前安全警示教育（处）</w:t>
            </w:r>
          </w:p>
        </w:tc>
        <w:tc>
          <w:tcPr>
            <w:tcW w:w="567"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仿宋_GB2312" w:eastAsia="仿宋_GB2312" w:hAnsi="宋体" w:cs="仿宋_GB2312"/>
                <w:b/>
                <w:color w:val="000000"/>
                <w:sz w:val="24"/>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现场可燃物品随意堆放（处）</w:t>
            </w:r>
          </w:p>
        </w:tc>
        <w:tc>
          <w:tcPr>
            <w:tcW w:w="602"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仿宋_GB2312" w:eastAsia="仿宋_GB2312" w:hAnsi="宋体" w:cs="仿宋_GB2312"/>
                <w:b/>
                <w:color w:val="000000"/>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未对危险区域和部位采取加固、支护、围挡等安全措施（处）</w:t>
            </w:r>
          </w:p>
        </w:tc>
        <w:tc>
          <w:tcPr>
            <w:tcW w:w="634"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宋体" w:eastAsia="宋体" w:hAnsi="宋体" w:cs="宋体"/>
                <w:color w:val="000000"/>
                <w:sz w:val="24"/>
              </w:rPr>
            </w:pPr>
          </w:p>
        </w:tc>
      </w:tr>
      <w:tr w:rsidR="005A3CD1" w:rsidTr="009D6C0F">
        <w:trPr>
          <w:trHeight w:val="1249"/>
          <w:jc w:val="center"/>
        </w:trPr>
        <w:tc>
          <w:tcPr>
            <w:tcW w:w="1114" w:type="dxa"/>
            <w:vMerge/>
            <w:tcBorders>
              <w:top w:val="single" w:sz="4" w:space="0" w:color="000000"/>
              <w:left w:val="single" w:sz="4" w:space="0" w:color="000000"/>
              <w:right w:val="single" w:sz="4" w:space="0" w:color="000000"/>
            </w:tcBorders>
            <w:vAlign w:val="center"/>
          </w:tcPr>
          <w:p w:rsidR="005A3CD1" w:rsidRDefault="005A3CD1" w:rsidP="009D6C0F">
            <w:pPr>
              <w:spacing w:line="300" w:lineRule="exact"/>
              <w:jc w:val="center"/>
              <w:rPr>
                <w:rFonts w:ascii="仿宋_GB2312" w:eastAsia="仿宋_GB2312" w:hAnsi="宋体" w:cs="仿宋_GB2312"/>
                <w:b/>
                <w:color w:val="000000"/>
                <w:sz w:val="28"/>
                <w:szCs w:val="28"/>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文物博物馆单位外包外租场地场所火灾风险隐患</w:t>
            </w:r>
          </w:p>
        </w:tc>
        <w:tc>
          <w:tcPr>
            <w:tcW w:w="150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外包外租场地场所数量（处）</w:t>
            </w:r>
          </w:p>
        </w:tc>
        <w:tc>
          <w:tcPr>
            <w:tcW w:w="67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仿宋_GB2312" w:eastAsia="仿宋_GB2312" w:hAnsi="宋体" w:cs="仿宋_GB2312"/>
                <w:b/>
                <w:color w:val="000000"/>
                <w:sz w:val="24"/>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未签订安全生产协议、安全生产管理职责不清（处）</w:t>
            </w:r>
          </w:p>
        </w:tc>
        <w:tc>
          <w:tcPr>
            <w:tcW w:w="567"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仿宋_GB2312" w:eastAsia="仿宋_GB2312" w:hAnsi="宋体" w:cs="仿宋_GB2312"/>
                <w:b/>
                <w:color w:val="000000"/>
                <w:sz w:val="24"/>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未定期开展排查检查，或发现隐患未及时整改（处）</w:t>
            </w:r>
          </w:p>
        </w:tc>
        <w:tc>
          <w:tcPr>
            <w:tcW w:w="602"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仿宋_GB2312" w:eastAsia="仿宋_GB2312" w:hAnsi="宋体" w:cs="仿宋_GB2312"/>
                <w:b/>
                <w:color w:val="000000"/>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承包承租方未落实安全生产责任制（处）</w:t>
            </w:r>
          </w:p>
        </w:tc>
        <w:tc>
          <w:tcPr>
            <w:tcW w:w="634" w:type="dxa"/>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spacing w:line="300" w:lineRule="exact"/>
              <w:rPr>
                <w:rFonts w:ascii="宋体" w:eastAsia="宋体" w:hAnsi="宋体" w:cs="宋体"/>
                <w:color w:val="000000"/>
                <w:sz w:val="24"/>
              </w:rPr>
            </w:pPr>
          </w:p>
        </w:tc>
      </w:tr>
      <w:tr w:rsidR="005A3CD1" w:rsidTr="009D6C0F">
        <w:trPr>
          <w:trHeight w:val="1170"/>
          <w:jc w:val="center"/>
        </w:trPr>
        <w:tc>
          <w:tcPr>
            <w:tcW w:w="1114" w:type="dxa"/>
            <w:vMerge w:val="restart"/>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jc w:val="center"/>
              <w:textAlignment w:val="center"/>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lang/>
              </w:rPr>
              <w:t>安全教育培训、消防演练及火灾事故情况</w:t>
            </w: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本地区重点文物博物馆单位（包括国保、省保单位及一、二、三级博物馆）数量（家）</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0"/>
                <w:szCs w:val="20"/>
              </w:rPr>
            </w:pPr>
          </w:p>
        </w:tc>
      </w:tr>
      <w:tr w:rsidR="005A3CD1" w:rsidTr="009D6C0F">
        <w:trPr>
          <w:trHeight w:val="960"/>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single" w:sz="4" w:space="0" w:color="000000"/>
              <w:left w:val="single" w:sz="4" w:space="0" w:color="000000"/>
              <w:bottom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基层文物部门抽查检查重点文物博物馆单位数量（家）</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0"/>
                <w:szCs w:val="20"/>
              </w:rPr>
            </w:pPr>
          </w:p>
        </w:tc>
      </w:tr>
      <w:tr w:rsidR="005A3CD1" w:rsidTr="009D6C0F">
        <w:trPr>
          <w:trHeight w:val="960"/>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抽查检查重点文物博物馆单位是否全覆盖（是/否）</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0"/>
                <w:szCs w:val="20"/>
              </w:rPr>
            </w:pPr>
          </w:p>
        </w:tc>
      </w:tr>
      <w:tr w:rsidR="005A3CD1" w:rsidTr="009D6C0F">
        <w:trPr>
          <w:trHeight w:val="855"/>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开展重点文物博物馆单位消防管理人员培训（次）</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0"/>
                <w:szCs w:val="20"/>
              </w:rPr>
            </w:pPr>
          </w:p>
        </w:tc>
      </w:tr>
      <w:tr w:rsidR="005A3CD1" w:rsidTr="009D6C0F">
        <w:trPr>
          <w:trHeight w:val="787"/>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参加培训的重点文物博物馆单位数量（家）</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0"/>
                <w:szCs w:val="20"/>
              </w:rPr>
            </w:pPr>
          </w:p>
        </w:tc>
      </w:tr>
      <w:tr w:rsidR="005A3CD1" w:rsidTr="009D6C0F">
        <w:trPr>
          <w:trHeight w:val="537"/>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参加培训人数（人）</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0"/>
                <w:szCs w:val="20"/>
              </w:rPr>
            </w:pPr>
          </w:p>
        </w:tc>
      </w:tr>
      <w:tr w:rsidR="005A3CD1" w:rsidTr="009D6C0F">
        <w:trPr>
          <w:trHeight w:val="1831"/>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其中，文物博物馆单位安全直接责任人、管理人、重点岗位员工、消防中控室值班人员、微型消防站队员人数分别为（人）</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0"/>
                <w:szCs w:val="20"/>
              </w:rPr>
            </w:pPr>
          </w:p>
        </w:tc>
      </w:tr>
      <w:tr w:rsidR="005A3CD1" w:rsidTr="009D6C0F">
        <w:trPr>
          <w:trHeight w:val="690"/>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本年度消防管理人员培训覆盖率（%）</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0"/>
                <w:szCs w:val="20"/>
              </w:rPr>
            </w:pPr>
          </w:p>
        </w:tc>
      </w:tr>
      <w:tr w:rsidR="005A3CD1" w:rsidTr="009D6C0F">
        <w:trPr>
          <w:trHeight w:val="575"/>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自2024年以来消防管理人员培训覆盖率（%）</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4"/>
              </w:rPr>
            </w:pPr>
          </w:p>
        </w:tc>
      </w:tr>
      <w:tr w:rsidR="005A3CD1" w:rsidTr="009D6C0F">
        <w:trPr>
          <w:trHeight w:val="435"/>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开展消防演练（次）</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4"/>
              </w:rPr>
            </w:pPr>
          </w:p>
        </w:tc>
      </w:tr>
      <w:tr w:rsidR="005A3CD1" w:rsidTr="009D6C0F">
        <w:trPr>
          <w:trHeight w:val="680"/>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single" w:sz="4" w:space="0" w:color="000000"/>
              <w:left w:val="single" w:sz="4" w:space="0" w:color="000000"/>
              <w:bottom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参与消防演练的文物博物馆单位数量（家）</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4"/>
              </w:rPr>
            </w:pPr>
          </w:p>
        </w:tc>
      </w:tr>
      <w:tr w:rsidR="005A3CD1" w:rsidTr="009D6C0F">
        <w:trPr>
          <w:trHeight w:val="919"/>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single" w:sz="4" w:space="0" w:color="000000"/>
              <w:left w:val="single" w:sz="4" w:space="0" w:color="000000"/>
              <w:bottom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列为消防安全重点单位的文物博物馆单位是否每半年至少开展一次消防演练（是/否）</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4"/>
              </w:rPr>
            </w:pPr>
          </w:p>
        </w:tc>
      </w:tr>
      <w:tr w:rsidR="005A3CD1" w:rsidTr="009D6C0F">
        <w:trPr>
          <w:trHeight w:val="870"/>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开展形式多样的</w:t>
            </w:r>
            <w:proofErr w:type="gramStart"/>
            <w:r>
              <w:rPr>
                <w:rFonts w:ascii="仿宋_GB2312" w:eastAsia="仿宋_GB2312" w:hAnsi="宋体" w:cs="仿宋_GB2312" w:hint="eastAsia"/>
                <w:b/>
                <w:color w:val="000000"/>
                <w:kern w:val="0"/>
                <w:sz w:val="24"/>
                <w:lang/>
              </w:rPr>
              <w:t>文物消防</w:t>
            </w:r>
            <w:proofErr w:type="gramEnd"/>
            <w:r>
              <w:rPr>
                <w:rFonts w:ascii="仿宋_GB2312" w:eastAsia="仿宋_GB2312" w:hAnsi="宋体" w:cs="仿宋_GB2312" w:hint="eastAsia"/>
                <w:b/>
                <w:color w:val="000000"/>
                <w:kern w:val="0"/>
                <w:sz w:val="24"/>
                <w:lang/>
              </w:rPr>
              <w:t>安全宣传活动（次）</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4"/>
              </w:rPr>
            </w:pPr>
          </w:p>
        </w:tc>
      </w:tr>
      <w:tr w:rsidR="005A3CD1" w:rsidTr="009D6C0F">
        <w:trPr>
          <w:trHeight w:val="1200"/>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single" w:sz="4" w:space="0" w:color="000000"/>
              <w:left w:val="single" w:sz="4" w:space="0" w:color="000000"/>
              <w:bottom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本地区是否出台文物安全相关规范标准（是/否，如有，请</w:t>
            </w:r>
            <w:proofErr w:type="gramStart"/>
            <w:r>
              <w:rPr>
                <w:rFonts w:ascii="仿宋_GB2312" w:eastAsia="仿宋_GB2312" w:hAnsi="宋体" w:cs="仿宋_GB2312" w:hint="eastAsia"/>
                <w:b/>
                <w:color w:val="000000"/>
                <w:kern w:val="0"/>
                <w:sz w:val="24"/>
                <w:lang/>
              </w:rPr>
              <w:t>附标准</w:t>
            </w:r>
            <w:proofErr w:type="gramEnd"/>
            <w:r>
              <w:rPr>
                <w:rFonts w:ascii="仿宋_GB2312" w:eastAsia="仿宋_GB2312" w:hAnsi="宋体" w:cs="仿宋_GB2312" w:hint="eastAsia"/>
                <w:b/>
                <w:color w:val="000000"/>
                <w:kern w:val="0"/>
                <w:sz w:val="24"/>
                <w:lang/>
              </w:rPr>
              <w:t>名称）</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4"/>
              </w:rPr>
            </w:pPr>
          </w:p>
        </w:tc>
      </w:tr>
      <w:tr w:rsidR="005A3CD1" w:rsidTr="009D6C0F">
        <w:trPr>
          <w:trHeight w:val="1456"/>
          <w:jc w:val="center"/>
        </w:trPr>
        <w:tc>
          <w:tcPr>
            <w:tcW w:w="1114" w:type="dxa"/>
            <w:vMerge/>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仿宋_GB2312" w:eastAsia="仿宋_GB2312" w:hAnsi="宋体" w:cs="仿宋_GB2312"/>
                <w:b/>
                <w:color w:val="000000"/>
                <w:sz w:val="28"/>
                <w:szCs w:val="28"/>
              </w:rPr>
            </w:pP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widowControl/>
              <w:spacing w:line="300" w:lineRule="exact"/>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lang/>
              </w:rPr>
              <w:t>本地区年度发生文物火灾事故数量（起，如有，请另附纸说明文物名称、级别、过火面积、造成损失等）</w:t>
            </w:r>
          </w:p>
        </w:tc>
        <w:tc>
          <w:tcPr>
            <w:tcW w:w="5919" w:type="dxa"/>
            <w:gridSpan w:val="7"/>
            <w:tcBorders>
              <w:top w:val="single" w:sz="4" w:space="0" w:color="000000"/>
              <w:left w:val="single" w:sz="4" w:space="0" w:color="000000"/>
              <w:bottom w:val="single" w:sz="4" w:space="0" w:color="000000"/>
              <w:right w:val="single" w:sz="4" w:space="0" w:color="000000"/>
            </w:tcBorders>
            <w:vAlign w:val="center"/>
          </w:tcPr>
          <w:p w:rsidR="005A3CD1" w:rsidRDefault="005A3CD1" w:rsidP="009D6C0F">
            <w:pPr>
              <w:jc w:val="center"/>
              <w:rPr>
                <w:rFonts w:ascii="宋体" w:eastAsia="宋体" w:hAnsi="宋体" w:cs="宋体"/>
                <w:color w:val="000000"/>
                <w:sz w:val="24"/>
              </w:rPr>
            </w:pPr>
          </w:p>
        </w:tc>
      </w:tr>
    </w:tbl>
    <w:p w:rsidR="005A3CD1" w:rsidRDefault="005A3CD1" w:rsidP="005A3CD1"/>
    <w:p w:rsidR="005A3CD1" w:rsidRDefault="005A3CD1" w:rsidP="005A3CD1">
      <w:pPr>
        <w:pStyle w:val="a0"/>
      </w:pPr>
    </w:p>
    <w:p w:rsidR="005A3CD1" w:rsidRDefault="005A3CD1" w:rsidP="005A3CD1"/>
    <w:p w:rsidR="005A3CD1" w:rsidRDefault="005A3CD1" w:rsidP="005A3CD1">
      <w:pPr>
        <w:pStyle w:val="a0"/>
      </w:pPr>
    </w:p>
    <w:p w:rsidR="005A3CD1" w:rsidRDefault="005A3CD1" w:rsidP="005A3CD1"/>
    <w:p w:rsidR="005A3CD1" w:rsidRDefault="005A3CD1" w:rsidP="005A3CD1">
      <w:pPr>
        <w:pStyle w:val="a0"/>
      </w:pPr>
    </w:p>
    <w:p w:rsidR="005A3CD1" w:rsidRDefault="005A3CD1" w:rsidP="005A3CD1"/>
    <w:p w:rsidR="005A3CD1" w:rsidRDefault="005A3CD1" w:rsidP="005A3CD1">
      <w:pPr>
        <w:pStyle w:val="a0"/>
      </w:pPr>
    </w:p>
    <w:p w:rsidR="005A3CD1" w:rsidRDefault="005A3CD1" w:rsidP="005A3CD1"/>
    <w:p w:rsidR="005A309C" w:rsidRPr="005A3CD1" w:rsidRDefault="005A3CD1"/>
    <w:sectPr w:rsidR="005A309C" w:rsidRPr="005A3CD1" w:rsidSect="00A829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3CD1"/>
    <w:rsid w:val="005A3CD1"/>
    <w:rsid w:val="00814133"/>
    <w:rsid w:val="00A829E3"/>
    <w:rsid w:val="00AD31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5A3CD1"/>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link w:val="Char"/>
    <w:autoRedefine/>
    <w:qFormat/>
    <w:rsid w:val="005A3CD1"/>
    <w:pPr>
      <w:suppressAutoHyphens/>
      <w:textAlignment w:val="baseline"/>
    </w:pPr>
    <w:rPr>
      <w:rFonts w:ascii="Times New Roman" w:eastAsia="宋体" w:hAnsi="Times New Roman"/>
      <w:color w:val="000000"/>
    </w:rPr>
  </w:style>
  <w:style w:type="character" w:customStyle="1" w:styleId="Char">
    <w:name w:val="称呼 Char"/>
    <w:basedOn w:val="a1"/>
    <w:link w:val="a0"/>
    <w:rsid w:val="005A3CD1"/>
    <w:rPr>
      <w:rFonts w:ascii="Times New Roman" w:eastAsia="宋体" w:hAnsi="Times New Roman"/>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2024-07-01T08:27:00Z</dcterms:created>
  <dcterms:modified xsi:type="dcterms:W3CDTF">2024-07-01T08:27:00Z</dcterms:modified>
</cp:coreProperties>
</file>