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附件２</w:t>
      </w:r>
      <w:bookmarkStart w:id="40" w:name="_GoBack"/>
      <w:bookmarkEnd w:id="40"/>
    </w:p>
    <w:p>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上海市2023年度农业生态资源保护资金转移支付</w:t>
      </w:r>
    </w:p>
    <w:p>
      <w:pPr>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绩效自评报告</w:t>
      </w:r>
    </w:p>
    <w:p>
      <w:pPr>
        <w:widowControl/>
        <w:spacing w:line="600" w:lineRule="exact"/>
        <w:jc w:val="center"/>
        <w:rPr>
          <w:rFonts w:eastAsia="方正小标宋简体"/>
          <w:sz w:val="32"/>
          <w:szCs w:val="32"/>
          <w:highlight w:val="none"/>
        </w:rPr>
      </w:pPr>
      <w:bookmarkStart w:id="0" w:name="_Toc133306684"/>
      <w:bookmarkStart w:id="1" w:name="_Toc68033652"/>
      <w:bookmarkStart w:id="2" w:name="_Hlk98423229"/>
      <w:bookmarkStart w:id="3" w:name="_Hlk98422989"/>
    </w:p>
    <w:p>
      <w:pPr>
        <w:spacing w:line="600" w:lineRule="exact"/>
        <w:ind w:firstLine="642" w:firstLineChars="200"/>
        <w:outlineLvl w:val="0"/>
        <w:rPr>
          <w:rFonts w:eastAsia="黑体"/>
          <w:b/>
          <w:bCs/>
          <w:sz w:val="32"/>
          <w:szCs w:val="32"/>
          <w:highlight w:val="none"/>
        </w:rPr>
      </w:pPr>
      <w:r>
        <w:rPr>
          <w:rFonts w:eastAsia="黑体"/>
          <w:b/>
          <w:bCs/>
          <w:sz w:val="32"/>
          <w:szCs w:val="32"/>
          <w:highlight w:val="none"/>
        </w:rPr>
        <w:t>一、绩效目标分解下达情况</w:t>
      </w:r>
      <w:bookmarkEnd w:id="0"/>
      <w:bookmarkEnd w:id="1"/>
    </w:p>
    <w:p>
      <w:pPr>
        <w:spacing w:line="600" w:lineRule="exact"/>
        <w:ind w:firstLine="642" w:firstLineChars="200"/>
        <w:outlineLvl w:val="1"/>
        <w:rPr>
          <w:rFonts w:ascii="楷体_GB2312" w:hAnsi="楷体_GB2312" w:eastAsia="楷体_GB2312" w:cs="楷体_GB2312"/>
          <w:b/>
          <w:bCs/>
          <w:sz w:val="32"/>
          <w:szCs w:val="32"/>
          <w:highlight w:val="none"/>
        </w:rPr>
      </w:pPr>
      <w:bookmarkStart w:id="4" w:name="_Toc133306685"/>
      <w:r>
        <w:rPr>
          <w:rFonts w:hint="eastAsia" w:ascii="楷体_GB2312" w:hAnsi="楷体_GB2312" w:eastAsia="楷体_GB2312" w:cs="楷体_GB2312"/>
          <w:b/>
          <w:bCs/>
          <w:sz w:val="32"/>
          <w:szCs w:val="32"/>
          <w:highlight w:val="none"/>
        </w:rPr>
        <w:t>（一）中央下达上海市农业生态资源保护资金转移支付预算和区域绩效目标情况</w:t>
      </w:r>
      <w:bookmarkEnd w:id="4"/>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根据《农业农村部 财政部关于做好2023年粮油生产保障等项目实施工作的通知》（农计财发〔2023〕4号）、《财政部关于下达2023年农业生态资源保护资金预算的通知》（财农〔2023〕22号）文件，2023年中央财政安排农业生态资源保护资金840万元，主要用于农业生态保护、农业资源养护利用等方面工作。2023年上海市农业生态资源保护资金分配见下表：</w:t>
      </w:r>
    </w:p>
    <w:p>
      <w:pPr>
        <w:spacing w:line="600" w:lineRule="exact"/>
        <w:ind w:firstLine="642" w:firstLineChars="200"/>
        <w:jc w:val="center"/>
        <w:rPr>
          <w:rFonts w:eastAsia="仿宋_GB2312"/>
          <w:b/>
          <w:sz w:val="28"/>
          <w:szCs w:val="28"/>
          <w:highlight w:val="none"/>
        </w:rPr>
      </w:pPr>
      <w:r>
        <w:rPr>
          <w:rFonts w:hint="eastAsia" w:ascii="楷体_GB2312" w:hAnsi="楷体_GB2312" w:eastAsia="楷体_GB2312" w:cs="楷体_GB2312"/>
          <w:b/>
          <w:sz w:val="32"/>
          <w:szCs w:val="32"/>
          <w:highlight w:val="none"/>
        </w:rPr>
        <w:t>表1  2023年农业生态资源保护资金分配表（上海市）</w:t>
      </w:r>
    </w:p>
    <w:p>
      <w:pPr>
        <w:spacing w:line="600" w:lineRule="exact"/>
        <w:ind w:firstLine="562" w:firstLineChars="200"/>
        <w:jc w:val="right"/>
        <w:rPr>
          <w:rFonts w:eastAsia="仿宋_GB2312"/>
          <w:b/>
          <w:sz w:val="28"/>
          <w:szCs w:val="28"/>
          <w:highlight w:val="none"/>
        </w:rPr>
      </w:pPr>
      <w:r>
        <w:rPr>
          <w:rFonts w:eastAsia="仿宋_GB2312"/>
          <w:b/>
          <w:sz w:val="28"/>
          <w:szCs w:val="28"/>
          <w:highlight w:val="none"/>
        </w:rPr>
        <w:t xml:space="preserve">                                          </w:t>
      </w:r>
      <w:r>
        <w:rPr>
          <w:rFonts w:eastAsia="仿宋_GB2312"/>
          <w:bCs/>
          <w:sz w:val="24"/>
          <w:szCs w:val="24"/>
          <w:highlight w:val="none"/>
        </w:rPr>
        <w:t xml:space="preserve">  单位：万元</w:t>
      </w:r>
    </w:p>
    <w:tbl>
      <w:tblPr>
        <w:tblStyle w:val="1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983"/>
        <w:gridCol w:w="2935"/>
        <w:gridCol w:w="2004"/>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66"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983"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地区</w:t>
            </w:r>
          </w:p>
        </w:tc>
        <w:tc>
          <w:tcPr>
            <w:tcW w:w="2935"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农作物秸秆综合利用</w:t>
            </w:r>
          </w:p>
        </w:tc>
        <w:tc>
          <w:tcPr>
            <w:tcW w:w="2004"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渔业资源保护</w:t>
            </w:r>
          </w:p>
        </w:tc>
        <w:tc>
          <w:tcPr>
            <w:tcW w:w="2224"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6"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p>
        </w:tc>
        <w:tc>
          <w:tcPr>
            <w:tcW w:w="983"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上海</w:t>
            </w:r>
          </w:p>
        </w:tc>
        <w:tc>
          <w:tcPr>
            <w:tcW w:w="2935"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319.00</w:t>
            </w:r>
          </w:p>
        </w:tc>
        <w:tc>
          <w:tcPr>
            <w:tcW w:w="2004" w:type="dxa"/>
            <w:vAlign w:val="center"/>
          </w:tcPr>
          <w:p>
            <w:pPr>
              <w:spacing w:line="240" w:lineRule="atLeast"/>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521.00</w:t>
            </w:r>
          </w:p>
        </w:tc>
        <w:tc>
          <w:tcPr>
            <w:tcW w:w="2224" w:type="dxa"/>
            <w:vAlign w:val="center"/>
          </w:tcPr>
          <w:p>
            <w:pPr>
              <w:spacing w:line="240" w:lineRule="atLeas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840.00</w:t>
            </w:r>
          </w:p>
        </w:tc>
      </w:tr>
    </w:tbl>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根据《财政部关于下达2023年农业生态资源保护资金预算的通知》（财农〔2023〕22号）文件，2023年度农业生态资源保护资金区域绩效目标如下：</w:t>
      </w:r>
    </w:p>
    <w:p>
      <w:pPr>
        <w:spacing w:line="600" w:lineRule="exact"/>
        <w:ind w:firstLine="642" w:firstLineChars="200"/>
        <w:rPr>
          <w:rFonts w:ascii="仿宋_GB2312" w:hAnsi="仿宋_GB2312" w:eastAsia="仿宋_GB2312" w:cs="仿宋_GB2312"/>
          <w:b/>
          <w:bCs/>
          <w:sz w:val="32"/>
          <w:szCs w:val="32"/>
          <w:highlight w:val="none"/>
        </w:rPr>
      </w:pPr>
      <w:bookmarkStart w:id="5" w:name="_Hlk161640986"/>
      <w:r>
        <w:rPr>
          <w:rFonts w:hint="eastAsia" w:ascii="仿宋_GB2312" w:hAnsi="仿宋_GB2312" w:eastAsia="仿宋_GB2312" w:cs="仿宋_GB2312"/>
          <w:b/>
          <w:bCs/>
          <w:sz w:val="32"/>
          <w:szCs w:val="32"/>
          <w:highlight w:val="none"/>
        </w:rPr>
        <w:t>1.年度目标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按照相关规划或实施方案，结合地方实际开展农业生态资源保护。</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2.产出指标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数量指标：建设秸秆综合利用重点县数量1个；渔业增殖放流规模4900万单位。</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质量指标：秸秆综合利用重点县秸秆综合利用率≥90%或比2022年提高5个百分点。</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3.效益指标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社会效益指标：以县为单位建立秸秆资源台账。</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社会效益指标：无资金使用重大违规违纪问题。</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生态效益指标：重要经济物种放流资源贡献率≥2%。</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4.满意度指标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服务对象满意度指标：增殖放流区域内抽样调查满意度≥80%。</w:t>
      </w:r>
      <w:bookmarkEnd w:id="5"/>
    </w:p>
    <w:p>
      <w:pPr>
        <w:spacing w:line="600" w:lineRule="exact"/>
        <w:ind w:firstLine="642" w:firstLineChars="200"/>
        <w:outlineLvl w:val="1"/>
        <w:rPr>
          <w:rFonts w:ascii="楷体_GB2312" w:hAnsi="楷体_GB2312" w:eastAsia="楷体_GB2312" w:cs="楷体_GB2312"/>
          <w:b/>
          <w:bCs/>
          <w:sz w:val="32"/>
          <w:szCs w:val="32"/>
          <w:highlight w:val="none"/>
        </w:rPr>
      </w:pPr>
      <w:bookmarkStart w:id="6" w:name="_Toc133306686"/>
      <w:r>
        <w:rPr>
          <w:rFonts w:hint="eastAsia" w:ascii="楷体_GB2312" w:hAnsi="楷体_GB2312" w:eastAsia="楷体_GB2312" w:cs="楷体_GB2312"/>
          <w:b/>
          <w:bCs/>
          <w:sz w:val="32"/>
          <w:szCs w:val="32"/>
          <w:highlight w:val="none"/>
        </w:rPr>
        <w:t>（二）上海市2023年农业生态资源保护资金地方配套资金预算情况</w:t>
      </w:r>
      <w:bookmarkEnd w:id="6"/>
    </w:p>
    <w:p>
      <w:pPr>
        <w:spacing w:line="600" w:lineRule="exact"/>
        <w:ind w:firstLine="640" w:firstLineChars="200"/>
        <w:rPr>
          <w:rFonts w:eastAsia="仿宋_GB2312"/>
          <w:bCs/>
          <w:sz w:val="32"/>
          <w:szCs w:val="32"/>
          <w:highlight w:val="none"/>
        </w:rPr>
      </w:pPr>
      <w:r>
        <w:rPr>
          <w:rFonts w:hint="eastAsia" w:ascii="仿宋_GB2312" w:hAnsi="仿宋_GB2312" w:eastAsia="仿宋_GB2312" w:cs="仿宋_GB2312"/>
          <w:bCs/>
          <w:sz w:val="32"/>
          <w:szCs w:val="32"/>
          <w:highlight w:val="none"/>
        </w:rPr>
        <w:t>根据《浦东新区创建秸秆综合利用重点县计划（调整）》，浦东新区投入自筹资金97.5万元，用于秸秆综合利用。</w:t>
      </w:r>
    </w:p>
    <w:p>
      <w:pPr>
        <w:spacing w:line="600" w:lineRule="exact"/>
        <w:ind w:firstLine="642" w:firstLineChars="200"/>
        <w:outlineLvl w:val="1"/>
        <w:rPr>
          <w:rFonts w:eastAsia="楷体_GB2312"/>
          <w:b/>
          <w:bCs/>
          <w:sz w:val="32"/>
          <w:szCs w:val="32"/>
          <w:highlight w:val="none"/>
        </w:rPr>
      </w:pPr>
      <w:r>
        <w:rPr>
          <w:rFonts w:eastAsia="楷体_GB2312"/>
          <w:b/>
          <w:bCs/>
          <w:sz w:val="32"/>
          <w:szCs w:val="32"/>
          <w:highlight w:val="none"/>
        </w:rPr>
        <w:t>（三）</w:t>
      </w:r>
      <w:bookmarkStart w:id="7" w:name="_Toc133306687"/>
      <w:r>
        <w:rPr>
          <w:rFonts w:eastAsia="楷体_GB2312"/>
          <w:b/>
          <w:bCs/>
          <w:sz w:val="32"/>
          <w:szCs w:val="32"/>
          <w:highlight w:val="none"/>
        </w:rPr>
        <w:t>上海市分解下达预算和绩效目标情况</w:t>
      </w:r>
      <w:bookmarkEnd w:id="7"/>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1.上海市2023年农业生态资源保护资金分解下达预算</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在收到中央下达预算通知后，上海市农业农村委员会（以下简称“市农业农村委”）会同上海市财政局（以下简称“市财政局”）结合本市工作情况，制定了本市2023年农业生态资源保护资金项目实施方案，分解下达预算，具体如下：</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（1）促进农作物秸秆综合利用</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创建秸秆综合利用县，安排资金319万元。以浦东新区为2023年秸秆综合利用重点县，加强农机农艺融合，优化秸秆机械化还田技术路线，提升耕地质量。提高秸秆收集、加工能力，提高离田利用水平，重点支持饲料化、基料化、燃料化等秸秆收集利用，培育市场主体4个，建立秸秆综合利用展示基地4个。提升全区粮油作物秸秆综合利用率达98.5%以上。</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（2）渔业资源保护</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开展渔业增殖放流，安排资金521万元。其中开展水生生物 （经济物种）增殖放流工作，安排项目资金390万元；开展</w:t>
      </w:r>
      <w:bookmarkStart w:id="8" w:name="_Hlk161633254"/>
      <w:r>
        <w:rPr>
          <w:rFonts w:hint="eastAsia" w:ascii="仿宋_GB2312" w:hAnsi="仿宋_GB2312" w:eastAsia="仿宋_GB2312" w:cs="仿宋_GB2312"/>
          <w:bCs/>
          <w:sz w:val="32"/>
          <w:szCs w:val="32"/>
          <w:highlight w:val="none"/>
        </w:rPr>
        <w:t>水生生物 （濒危珍稀物种）增殖放流工作</w:t>
      </w:r>
      <w:bookmarkEnd w:id="8"/>
      <w:r>
        <w:rPr>
          <w:rFonts w:hint="eastAsia" w:ascii="仿宋_GB2312" w:hAnsi="仿宋_GB2312" w:eastAsia="仿宋_GB2312" w:cs="仿宋_GB2312"/>
          <w:bCs/>
          <w:sz w:val="32"/>
          <w:szCs w:val="32"/>
          <w:highlight w:val="none"/>
        </w:rPr>
        <w:t>，安排项目资金131万元。全年完成渔业增殖放流规模不少于 4900万尾（粒）任务，其中经济物种放流资源贡献率≥2%。资金主要用于补助购买苗种、暂养、运输、后期跟踪监测和效果评估等放流苗种支出，其中用于补贴购买苗种的支出不少于90%。</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另外，市农业农村委发布《</w:t>
      </w:r>
      <w:bookmarkStart w:id="9" w:name="_Hlk161631761"/>
      <w:r>
        <w:rPr>
          <w:rFonts w:hint="eastAsia" w:ascii="仿宋_GB2312" w:hAnsi="仿宋_GB2312" w:eastAsia="仿宋_GB2312" w:cs="仿宋_GB2312"/>
          <w:bCs/>
          <w:sz w:val="32"/>
          <w:szCs w:val="32"/>
          <w:highlight w:val="none"/>
        </w:rPr>
        <w:t>关于下达2023年农业生态资源保护水生生物增殖放流项目工作任务的通知》（沪农委〔2023〕124号）</w:t>
      </w:r>
      <w:bookmarkEnd w:id="9"/>
      <w:r>
        <w:rPr>
          <w:rFonts w:hint="eastAsia" w:ascii="仿宋_GB2312" w:hAnsi="仿宋_GB2312" w:eastAsia="仿宋_GB2312" w:cs="仿宋_GB2312"/>
          <w:bCs/>
          <w:sz w:val="32"/>
          <w:szCs w:val="32"/>
          <w:highlight w:val="none"/>
        </w:rPr>
        <w:t>明确水生生物（经济物种）增殖放流工作由上海市农业农村委员会执法总队实施，水生生物（濒危珍稀物种）增殖放流工作由上海市水生野生动植物研究保护中心实施。</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2.上海市2023年农业生态资源保护资金绩效目标情况</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通过《农业生态资源保护资金项目实施方案》《关于下达2023年农业生态资源保护水生生物增殖放流项目工作任务的通知》（沪农委〔2023〕124号）及《关于下达上海市浦东新区推进农作物秸秆综合利用绩效目标的通知》（沪农委〔2023〕209号）等文件，分解下达绩效目标</w:t>
      </w:r>
      <w:bookmarkStart w:id="10" w:name="_Hlk161570478"/>
      <w:r>
        <w:rPr>
          <w:rFonts w:hint="eastAsia" w:ascii="仿宋_GB2312" w:hAnsi="仿宋_GB2312" w:eastAsia="仿宋_GB2312" w:cs="仿宋_GB2312"/>
          <w:bCs/>
          <w:sz w:val="32"/>
          <w:szCs w:val="32"/>
          <w:highlight w:val="none"/>
        </w:rPr>
        <w:t>。</w:t>
      </w:r>
      <w:bookmarkEnd w:id="10"/>
    </w:p>
    <w:bookmarkEnd w:id="2"/>
    <w:bookmarkEnd w:id="3"/>
    <w:p>
      <w:pPr>
        <w:spacing w:line="600" w:lineRule="exact"/>
        <w:ind w:firstLine="642" w:firstLineChars="200"/>
        <w:outlineLvl w:val="0"/>
        <w:rPr>
          <w:rFonts w:ascii="黑体" w:hAnsi="黑体" w:eastAsia="黑体" w:cs="黑体"/>
          <w:b/>
          <w:bCs/>
          <w:sz w:val="32"/>
          <w:szCs w:val="32"/>
          <w:highlight w:val="none"/>
        </w:rPr>
      </w:pPr>
      <w:bookmarkStart w:id="11" w:name="_Toc68033653"/>
      <w:bookmarkStart w:id="12" w:name="_Toc133306688"/>
      <w:r>
        <w:rPr>
          <w:rFonts w:hint="eastAsia" w:ascii="黑体" w:hAnsi="黑体" w:eastAsia="黑体" w:cs="黑体"/>
          <w:b/>
          <w:bCs/>
          <w:sz w:val="32"/>
          <w:szCs w:val="32"/>
          <w:highlight w:val="none"/>
        </w:rPr>
        <w:t>二、</w:t>
      </w:r>
      <w:bookmarkEnd w:id="11"/>
      <w:r>
        <w:rPr>
          <w:rFonts w:hint="eastAsia" w:ascii="黑体" w:hAnsi="黑体" w:eastAsia="黑体" w:cs="黑体"/>
          <w:b/>
          <w:bCs/>
          <w:sz w:val="32"/>
          <w:szCs w:val="32"/>
          <w:highlight w:val="none"/>
        </w:rPr>
        <w:t>绩效情况分析</w:t>
      </w:r>
      <w:bookmarkEnd w:id="12"/>
    </w:p>
    <w:p>
      <w:pPr>
        <w:spacing w:line="600" w:lineRule="exact"/>
        <w:ind w:firstLine="642" w:firstLineChars="200"/>
        <w:outlineLvl w:val="1"/>
        <w:rPr>
          <w:rFonts w:eastAsia="楷体_GB2312"/>
          <w:b/>
          <w:bCs/>
          <w:sz w:val="32"/>
          <w:szCs w:val="32"/>
          <w:highlight w:val="none"/>
        </w:rPr>
      </w:pPr>
      <w:bookmarkStart w:id="13" w:name="_Toc133306689"/>
      <w:r>
        <w:rPr>
          <w:rFonts w:eastAsia="楷体_GB2312"/>
          <w:b/>
          <w:bCs/>
          <w:sz w:val="32"/>
          <w:szCs w:val="32"/>
          <w:highlight w:val="none"/>
        </w:rPr>
        <w:t>（一）资金投入情况分析</w:t>
      </w:r>
      <w:bookmarkEnd w:id="13"/>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1、资金到位</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资金到位率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关于报送上海市2023年粮油生产保障等项目中央转移支付资金分配实施方案的函》（沪农委〔2023〕214号），市农业农村委分解下达农业生态资源保护资金840万元，中央下达农业生态资源保护资金为840万元，资金到位率100%。</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2、预算执行</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预算执行率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农业生态资源保护资金中央财政资金为840万元，配套自筹资金为97.5万元，合计为937.5万元，使用单位中创建秸秆综合利用县使用单位为浦东新区</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yellow"/>
          <w:lang w:val="en-US" w:eastAsia="zh-CN"/>
        </w:rPr>
        <w:t>建立秸秆综合利用展示基地4个，培育市场主体4个</w:t>
      </w:r>
      <w:r>
        <w:rPr>
          <w:rFonts w:hint="eastAsia" w:ascii="仿宋_GB2312" w:hAnsi="仿宋_GB2312" w:eastAsia="仿宋_GB2312" w:cs="仿宋_GB2312"/>
          <w:bCs/>
          <w:sz w:val="32"/>
          <w:szCs w:val="32"/>
          <w:highlight w:val="none"/>
        </w:rPr>
        <w:t>，分别是上海桑磊蔬果种植专业合作社、上海浦东环保发展有限公司、上海范顺食用菌专业合作社、上海乔稼农产品专业合作社。</w:t>
      </w:r>
      <w:r>
        <w:rPr>
          <w:rFonts w:hint="eastAsia" w:ascii="仿宋_GB2312" w:hAnsi="仿宋_GB2312" w:eastAsia="仿宋_GB2312" w:cs="仿宋_GB2312"/>
          <w:bCs/>
          <w:sz w:val="32"/>
          <w:szCs w:val="32"/>
          <w:highlight w:val="yellow"/>
          <w:lang w:eastAsia="zh-CN"/>
        </w:rPr>
        <w:t>根据项目实施方案，</w:t>
      </w:r>
      <w:r>
        <w:rPr>
          <w:rFonts w:hint="eastAsia" w:ascii="仿宋_GB2312" w:hAnsi="仿宋_GB2312" w:eastAsia="仿宋_GB2312" w:cs="仿宋_GB2312"/>
          <w:bCs/>
          <w:sz w:val="32"/>
          <w:szCs w:val="32"/>
          <w:highlight w:val="none"/>
        </w:rPr>
        <w:t>项目资金需在项目验收后才下拨，前期产生的费用由各相关单位垫付。但由于项目中设备采购流程较长，上海浦东环保发展有限公司设备采购还未结束（部分机械还未到货），导致后续审计、项目验收评审等工作延迟，2023年中央资金不能及时拨付，执行数为0万元，自筹资金支付41.2万元，结余资金将结转至2024年，继续用于秸秆综合县创建工作。渔业资源保护－增殖放流工作已完成，上海市农业农村委员会执法总队390万元和上海市水生野生动植物保护研究中心131万元已执行完毕。综上，项目总执行数为562.20万元，预算执行率为59.97%。具体各子项目资金使用情况如表2所示。</w:t>
      </w:r>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表2</w:t>
      </w:r>
      <w:r>
        <w:rPr>
          <w:rFonts w:hint="eastAsia" w:ascii="楷体_GB2312" w:hAnsi="楷体_GB2312" w:eastAsia="楷体_GB2312" w:cs="楷体_GB2312"/>
          <w:b/>
          <w:sz w:val="32"/>
          <w:szCs w:val="32"/>
          <w:highlight w:val="none"/>
        </w:rPr>
        <w:t xml:space="preserve"> </w:t>
      </w:r>
      <w:r>
        <w:rPr>
          <w:rFonts w:ascii="楷体_GB2312" w:hAnsi="楷体_GB2312" w:eastAsia="楷体_GB2312" w:cs="楷体_GB2312"/>
          <w:b/>
          <w:sz w:val="32"/>
          <w:szCs w:val="32"/>
          <w:highlight w:val="none"/>
        </w:rPr>
        <w:t xml:space="preserve"> 2023年农业生态资源保护资金使用情况一览表</w:t>
      </w:r>
    </w:p>
    <w:p>
      <w:pPr>
        <w:spacing w:line="600" w:lineRule="exact"/>
        <w:ind w:firstLine="480" w:firstLineChars="200"/>
        <w:jc w:val="right"/>
        <w:rPr>
          <w:rFonts w:eastAsia="仿宋_GB2312"/>
          <w:bCs/>
          <w:sz w:val="24"/>
          <w:szCs w:val="24"/>
          <w:highlight w:val="none"/>
        </w:rPr>
      </w:pPr>
      <w:r>
        <w:rPr>
          <w:rFonts w:eastAsia="仿宋_GB2312"/>
          <w:bCs/>
          <w:sz w:val="24"/>
          <w:szCs w:val="24"/>
          <w:highlight w:val="none"/>
        </w:rPr>
        <w:t>单位：万元</w:t>
      </w:r>
    </w:p>
    <w:tbl>
      <w:tblPr>
        <w:tblStyle w:val="1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194"/>
        <w:gridCol w:w="1442"/>
        <w:gridCol w:w="907"/>
        <w:gridCol w:w="892"/>
        <w:gridCol w:w="1173"/>
        <w:gridCol w:w="885"/>
        <w:gridCol w:w="89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634" w:type="dxa"/>
            <w:vMerge w:val="restart"/>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1194" w:type="dxa"/>
            <w:vMerge w:val="restart"/>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项目名称</w:t>
            </w:r>
          </w:p>
        </w:tc>
        <w:tc>
          <w:tcPr>
            <w:tcW w:w="1442" w:type="dxa"/>
            <w:vMerge w:val="restart"/>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资金使用单位</w:t>
            </w:r>
          </w:p>
        </w:tc>
        <w:tc>
          <w:tcPr>
            <w:tcW w:w="2972" w:type="dxa"/>
            <w:gridSpan w:val="3"/>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中央财政资金</w:t>
            </w:r>
          </w:p>
        </w:tc>
        <w:tc>
          <w:tcPr>
            <w:tcW w:w="2770" w:type="dxa"/>
            <w:gridSpan w:val="3"/>
          </w:tcPr>
          <w:p>
            <w:pPr>
              <w:snapToGrid w:val="0"/>
              <w:jc w:val="center"/>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634" w:type="dxa"/>
            <w:vMerge w:val="continue"/>
            <w:vAlign w:val="center"/>
          </w:tcPr>
          <w:p>
            <w:pPr>
              <w:snapToGrid w:val="0"/>
              <w:jc w:val="center"/>
              <w:rPr>
                <w:rFonts w:ascii="仿宋_GB2312" w:hAnsi="仿宋_GB2312" w:eastAsia="仿宋_GB2312" w:cs="仿宋_GB2312"/>
                <w:b/>
                <w:sz w:val="24"/>
                <w:szCs w:val="24"/>
                <w:highlight w:val="none"/>
              </w:rPr>
            </w:pPr>
          </w:p>
        </w:tc>
        <w:tc>
          <w:tcPr>
            <w:tcW w:w="1194" w:type="dxa"/>
            <w:vMerge w:val="continue"/>
            <w:vAlign w:val="center"/>
          </w:tcPr>
          <w:p>
            <w:pPr>
              <w:snapToGrid w:val="0"/>
              <w:jc w:val="center"/>
              <w:rPr>
                <w:rFonts w:ascii="仿宋_GB2312" w:hAnsi="仿宋_GB2312" w:eastAsia="仿宋_GB2312" w:cs="仿宋_GB2312"/>
                <w:b/>
                <w:sz w:val="24"/>
                <w:szCs w:val="24"/>
                <w:highlight w:val="none"/>
              </w:rPr>
            </w:pPr>
          </w:p>
        </w:tc>
        <w:tc>
          <w:tcPr>
            <w:tcW w:w="1442" w:type="dxa"/>
            <w:vMerge w:val="continue"/>
            <w:vAlign w:val="center"/>
          </w:tcPr>
          <w:p>
            <w:pPr>
              <w:snapToGrid w:val="0"/>
              <w:jc w:val="center"/>
              <w:rPr>
                <w:rFonts w:ascii="仿宋_GB2312" w:hAnsi="仿宋_GB2312" w:eastAsia="仿宋_GB2312" w:cs="仿宋_GB2312"/>
                <w:b/>
                <w:sz w:val="24"/>
                <w:szCs w:val="24"/>
                <w:highlight w:val="none"/>
              </w:rPr>
            </w:pPr>
          </w:p>
        </w:tc>
        <w:tc>
          <w:tcPr>
            <w:tcW w:w="907"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预算数</w:t>
            </w:r>
          </w:p>
        </w:tc>
        <w:tc>
          <w:tcPr>
            <w:tcW w:w="892"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执行数</w:t>
            </w:r>
          </w:p>
        </w:tc>
        <w:tc>
          <w:tcPr>
            <w:tcW w:w="1173"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执行率</w:t>
            </w:r>
          </w:p>
        </w:tc>
        <w:tc>
          <w:tcPr>
            <w:tcW w:w="885"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预算数</w:t>
            </w:r>
          </w:p>
        </w:tc>
        <w:tc>
          <w:tcPr>
            <w:tcW w:w="890"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执行数</w:t>
            </w:r>
          </w:p>
        </w:tc>
        <w:tc>
          <w:tcPr>
            <w:tcW w:w="995"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34" w:type="dxa"/>
            <w:vMerge w:val="restart"/>
            <w:vAlign w:val="center"/>
          </w:tcPr>
          <w:p>
            <w:pPr>
              <w:snapToGrid w:val="0"/>
              <w:jc w:val="center"/>
              <w:rPr>
                <w:rFonts w:ascii="仿宋_GB2312" w:hAnsi="仿宋_GB2312" w:eastAsia="仿宋_GB2312" w:cs="仿宋_GB2312"/>
                <w:bCs/>
                <w:sz w:val="24"/>
                <w:szCs w:val="24"/>
                <w:highlight w:val="none"/>
              </w:rPr>
            </w:pPr>
            <w:bookmarkStart w:id="14" w:name="_Hlk161509467"/>
            <w:r>
              <w:rPr>
                <w:rFonts w:hint="eastAsia" w:ascii="仿宋_GB2312" w:hAnsi="仿宋_GB2312" w:eastAsia="仿宋_GB2312" w:cs="仿宋_GB2312"/>
                <w:bCs/>
                <w:sz w:val="24"/>
                <w:szCs w:val="24"/>
                <w:highlight w:val="none"/>
              </w:rPr>
              <w:t>1</w:t>
            </w:r>
          </w:p>
        </w:tc>
        <w:tc>
          <w:tcPr>
            <w:tcW w:w="1194" w:type="dxa"/>
            <w:vMerge w:val="restart"/>
            <w:vAlign w:val="center"/>
          </w:tcPr>
          <w:p>
            <w:pPr>
              <w:snapToGrid w:val="0"/>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农作物秸秆综合利用－创建秸秆综合利用县</w:t>
            </w:r>
          </w:p>
        </w:tc>
        <w:tc>
          <w:tcPr>
            <w:tcW w:w="1442" w:type="dxa"/>
            <w:vAlign w:val="center"/>
          </w:tcPr>
          <w:p>
            <w:pPr>
              <w:snapToGrid w:val="0"/>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浦东新区－上海桑磊蔬果种植专业合作社</w:t>
            </w:r>
          </w:p>
        </w:tc>
        <w:tc>
          <w:tcPr>
            <w:tcW w:w="907"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129.3</w:t>
            </w:r>
          </w:p>
        </w:tc>
        <w:tc>
          <w:tcPr>
            <w:tcW w:w="892"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1173"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88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17.3</w:t>
            </w:r>
          </w:p>
        </w:tc>
        <w:tc>
          <w:tcPr>
            <w:tcW w:w="890"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99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34" w:type="dxa"/>
            <w:vMerge w:val="continue"/>
            <w:vAlign w:val="center"/>
          </w:tcPr>
          <w:p>
            <w:pPr>
              <w:snapToGrid w:val="0"/>
              <w:jc w:val="center"/>
              <w:rPr>
                <w:rFonts w:ascii="仿宋_GB2312" w:hAnsi="仿宋_GB2312" w:eastAsia="仿宋_GB2312" w:cs="仿宋_GB2312"/>
                <w:bCs/>
                <w:sz w:val="24"/>
                <w:szCs w:val="24"/>
                <w:highlight w:val="none"/>
              </w:rPr>
            </w:pPr>
          </w:p>
        </w:tc>
        <w:tc>
          <w:tcPr>
            <w:tcW w:w="1194" w:type="dxa"/>
            <w:vMerge w:val="continue"/>
            <w:vAlign w:val="center"/>
          </w:tcPr>
          <w:p>
            <w:pPr>
              <w:snapToGrid w:val="0"/>
              <w:rPr>
                <w:rFonts w:ascii="仿宋_GB2312" w:hAnsi="仿宋_GB2312" w:eastAsia="仿宋_GB2312" w:cs="仿宋_GB2312"/>
                <w:bCs/>
                <w:sz w:val="24"/>
                <w:szCs w:val="24"/>
                <w:highlight w:val="none"/>
              </w:rPr>
            </w:pPr>
          </w:p>
        </w:tc>
        <w:tc>
          <w:tcPr>
            <w:tcW w:w="1442" w:type="dxa"/>
            <w:vAlign w:val="center"/>
          </w:tcPr>
          <w:p>
            <w:pPr>
              <w:snapToGrid w:val="0"/>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浦东新区－上海浦东环保发展有限公司</w:t>
            </w:r>
          </w:p>
        </w:tc>
        <w:tc>
          <w:tcPr>
            <w:tcW w:w="907"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89.1</w:t>
            </w:r>
          </w:p>
        </w:tc>
        <w:tc>
          <w:tcPr>
            <w:tcW w:w="892"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1173"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88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29</w:t>
            </w:r>
          </w:p>
        </w:tc>
        <w:tc>
          <w:tcPr>
            <w:tcW w:w="890"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99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34" w:type="dxa"/>
            <w:vMerge w:val="continue"/>
            <w:vAlign w:val="center"/>
          </w:tcPr>
          <w:p>
            <w:pPr>
              <w:snapToGrid w:val="0"/>
              <w:jc w:val="center"/>
              <w:rPr>
                <w:rFonts w:ascii="仿宋_GB2312" w:hAnsi="仿宋_GB2312" w:eastAsia="仿宋_GB2312" w:cs="仿宋_GB2312"/>
                <w:bCs/>
                <w:sz w:val="24"/>
                <w:szCs w:val="24"/>
                <w:highlight w:val="none"/>
              </w:rPr>
            </w:pPr>
          </w:p>
        </w:tc>
        <w:tc>
          <w:tcPr>
            <w:tcW w:w="1194" w:type="dxa"/>
            <w:vMerge w:val="continue"/>
            <w:vAlign w:val="center"/>
          </w:tcPr>
          <w:p>
            <w:pPr>
              <w:snapToGrid w:val="0"/>
              <w:rPr>
                <w:rFonts w:ascii="仿宋_GB2312" w:hAnsi="仿宋_GB2312" w:eastAsia="仿宋_GB2312" w:cs="仿宋_GB2312"/>
                <w:bCs/>
                <w:sz w:val="24"/>
                <w:szCs w:val="24"/>
                <w:highlight w:val="none"/>
              </w:rPr>
            </w:pPr>
          </w:p>
        </w:tc>
        <w:tc>
          <w:tcPr>
            <w:tcW w:w="1442" w:type="dxa"/>
            <w:vAlign w:val="center"/>
          </w:tcPr>
          <w:p>
            <w:pPr>
              <w:snapToGrid w:val="0"/>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浦东新区－上海范顺食用菌专业合作社</w:t>
            </w:r>
          </w:p>
        </w:tc>
        <w:tc>
          <w:tcPr>
            <w:tcW w:w="907"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56.6</w:t>
            </w:r>
          </w:p>
        </w:tc>
        <w:tc>
          <w:tcPr>
            <w:tcW w:w="892"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1173"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88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w:t>
            </w:r>
          </w:p>
        </w:tc>
        <w:tc>
          <w:tcPr>
            <w:tcW w:w="890"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99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34" w:type="dxa"/>
            <w:vMerge w:val="continue"/>
            <w:vAlign w:val="center"/>
          </w:tcPr>
          <w:p>
            <w:pPr>
              <w:snapToGrid w:val="0"/>
              <w:jc w:val="center"/>
              <w:rPr>
                <w:rFonts w:ascii="仿宋_GB2312" w:hAnsi="仿宋_GB2312" w:eastAsia="仿宋_GB2312" w:cs="仿宋_GB2312"/>
                <w:bCs/>
                <w:sz w:val="24"/>
                <w:szCs w:val="24"/>
                <w:highlight w:val="none"/>
              </w:rPr>
            </w:pPr>
          </w:p>
        </w:tc>
        <w:tc>
          <w:tcPr>
            <w:tcW w:w="1194" w:type="dxa"/>
            <w:vMerge w:val="continue"/>
            <w:vAlign w:val="center"/>
          </w:tcPr>
          <w:p>
            <w:pPr>
              <w:snapToGrid w:val="0"/>
              <w:rPr>
                <w:rFonts w:ascii="仿宋_GB2312" w:hAnsi="仿宋_GB2312" w:eastAsia="仿宋_GB2312" w:cs="仿宋_GB2312"/>
                <w:bCs/>
                <w:sz w:val="24"/>
                <w:szCs w:val="24"/>
                <w:highlight w:val="none"/>
              </w:rPr>
            </w:pPr>
          </w:p>
        </w:tc>
        <w:tc>
          <w:tcPr>
            <w:tcW w:w="1442" w:type="dxa"/>
            <w:vAlign w:val="center"/>
          </w:tcPr>
          <w:p>
            <w:pPr>
              <w:snapToGrid w:val="0"/>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浦东新区－上海乔稼农产品专业合作社</w:t>
            </w:r>
          </w:p>
        </w:tc>
        <w:tc>
          <w:tcPr>
            <w:tcW w:w="907"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44</w:t>
            </w:r>
          </w:p>
        </w:tc>
        <w:tc>
          <w:tcPr>
            <w:tcW w:w="892"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1173"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0%</w:t>
            </w:r>
          </w:p>
        </w:tc>
        <w:tc>
          <w:tcPr>
            <w:tcW w:w="88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41.2</w:t>
            </w:r>
          </w:p>
        </w:tc>
        <w:tc>
          <w:tcPr>
            <w:tcW w:w="890"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41.2</w:t>
            </w:r>
          </w:p>
        </w:tc>
        <w:tc>
          <w:tcPr>
            <w:tcW w:w="99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34" w:type="dxa"/>
            <w:vMerge w:val="restart"/>
            <w:vAlign w:val="center"/>
          </w:tcPr>
          <w:p>
            <w:pPr>
              <w:snapToGrid w:val="0"/>
              <w:jc w:val="center"/>
              <w:rPr>
                <w:rFonts w:ascii="仿宋_GB2312" w:hAnsi="仿宋_GB2312" w:eastAsia="仿宋_GB2312" w:cs="仿宋_GB2312"/>
                <w:bCs/>
                <w:sz w:val="24"/>
                <w:szCs w:val="24"/>
                <w:highlight w:val="none"/>
              </w:rPr>
            </w:pPr>
            <w:bookmarkStart w:id="15" w:name="_Hlk161634617"/>
            <w:r>
              <w:rPr>
                <w:rFonts w:hint="eastAsia" w:ascii="仿宋_GB2312" w:hAnsi="仿宋_GB2312" w:eastAsia="仿宋_GB2312" w:cs="仿宋_GB2312"/>
                <w:bCs/>
                <w:sz w:val="24"/>
                <w:szCs w:val="24"/>
                <w:highlight w:val="none"/>
              </w:rPr>
              <w:t>2</w:t>
            </w:r>
          </w:p>
        </w:tc>
        <w:tc>
          <w:tcPr>
            <w:tcW w:w="1194" w:type="dxa"/>
            <w:vMerge w:val="restart"/>
            <w:vAlign w:val="center"/>
          </w:tcPr>
          <w:p>
            <w:pPr>
              <w:snapToGrid w:val="0"/>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渔业资源保护-增殖放流</w:t>
            </w:r>
          </w:p>
        </w:tc>
        <w:tc>
          <w:tcPr>
            <w:tcW w:w="1442" w:type="dxa"/>
            <w:vAlign w:val="center"/>
          </w:tcPr>
          <w:p>
            <w:pPr>
              <w:snapToGrid w:val="0"/>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上海市农业农村委员会执法总队</w:t>
            </w:r>
          </w:p>
        </w:tc>
        <w:tc>
          <w:tcPr>
            <w:tcW w:w="907"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390</w:t>
            </w:r>
          </w:p>
        </w:tc>
        <w:tc>
          <w:tcPr>
            <w:tcW w:w="892"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390</w:t>
            </w:r>
          </w:p>
        </w:tc>
        <w:tc>
          <w:tcPr>
            <w:tcW w:w="1173"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100.00%</w:t>
            </w:r>
          </w:p>
        </w:tc>
        <w:tc>
          <w:tcPr>
            <w:tcW w:w="88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890"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99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34" w:type="dxa"/>
            <w:vMerge w:val="continue"/>
            <w:vAlign w:val="center"/>
          </w:tcPr>
          <w:p>
            <w:pPr>
              <w:snapToGrid w:val="0"/>
              <w:jc w:val="center"/>
              <w:rPr>
                <w:rFonts w:ascii="仿宋_GB2312" w:hAnsi="仿宋_GB2312" w:eastAsia="仿宋_GB2312" w:cs="仿宋_GB2312"/>
                <w:bCs/>
                <w:sz w:val="24"/>
                <w:szCs w:val="24"/>
                <w:highlight w:val="none"/>
              </w:rPr>
            </w:pPr>
          </w:p>
        </w:tc>
        <w:tc>
          <w:tcPr>
            <w:tcW w:w="1194" w:type="dxa"/>
            <w:vMerge w:val="continue"/>
            <w:vAlign w:val="center"/>
          </w:tcPr>
          <w:p>
            <w:pPr>
              <w:snapToGrid w:val="0"/>
              <w:rPr>
                <w:rFonts w:ascii="仿宋_GB2312" w:hAnsi="仿宋_GB2312" w:eastAsia="仿宋_GB2312" w:cs="仿宋_GB2312"/>
                <w:bCs/>
                <w:sz w:val="24"/>
                <w:szCs w:val="24"/>
                <w:highlight w:val="none"/>
              </w:rPr>
            </w:pPr>
          </w:p>
        </w:tc>
        <w:tc>
          <w:tcPr>
            <w:tcW w:w="1442" w:type="dxa"/>
            <w:vAlign w:val="center"/>
          </w:tcPr>
          <w:p>
            <w:pPr>
              <w:snapToGrid w:val="0"/>
              <w:jc w:val="left"/>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上海市水生野生动植物保护研究中心</w:t>
            </w:r>
          </w:p>
        </w:tc>
        <w:tc>
          <w:tcPr>
            <w:tcW w:w="907"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131</w:t>
            </w:r>
          </w:p>
        </w:tc>
        <w:tc>
          <w:tcPr>
            <w:tcW w:w="892"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131</w:t>
            </w:r>
          </w:p>
        </w:tc>
        <w:tc>
          <w:tcPr>
            <w:tcW w:w="1173"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100.00%</w:t>
            </w:r>
          </w:p>
        </w:tc>
        <w:tc>
          <w:tcPr>
            <w:tcW w:w="88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890"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c>
          <w:tcPr>
            <w:tcW w:w="995" w:type="dxa"/>
            <w:vAlign w:val="center"/>
          </w:tcPr>
          <w:p>
            <w:pPr>
              <w:snapToGrid w:val="0"/>
              <w:jc w:val="center"/>
              <w:rPr>
                <w:rFonts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w:t>
            </w:r>
          </w:p>
        </w:tc>
      </w:tr>
      <w:bookmarkEnd w:id="14"/>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70" w:type="dxa"/>
            <w:gridSpan w:val="3"/>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总计</w:t>
            </w:r>
          </w:p>
        </w:tc>
        <w:tc>
          <w:tcPr>
            <w:tcW w:w="907"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840</w:t>
            </w:r>
          </w:p>
        </w:tc>
        <w:tc>
          <w:tcPr>
            <w:tcW w:w="892"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521</w:t>
            </w:r>
          </w:p>
        </w:tc>
        <w:tc>
          <w:tcPr>
            <w:tcW w:w="1173"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62.02%</w:t>
            </w:r>
          </w:p>
        </w:tc>
        <w:tc>
          <w:tcPr>
            <w:tcW w:w="885"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97.5</w:t>
            </w:r>
          </w:p>
        </w:tc>
        <w:tc>
          <w:tcPr>
            <w:tcW w:w="890"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41.2</w:t>
            </w:r>
          </w:p>
        </w:tc>
        <w:tc>
          <w:tcPr>
            <w:tcW w:w="995" w:type="dxa"/>
            <w:vAlign w:val="center"/>
          </w:tcPr>
          <w:p>
            <w:pPr>
              <w:snapToGrid w:val="0"/>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42.26%</w:t>
            </w:r>
          </w:p>
        </w:tc>
      </w:tr>
    </w:tbl>
    <w:p>
      <w:pPr>
        <w:spacing w:line="600" w:lineRule="exact"/>
        <w:ind w:firstLine="642" w:firstLineChars="200"/>
        <w:outlineLvl w:val="1"/>
        <w:rPr>
          <w:rFonts w:eastAsia="楷体_GB2312"/>
          <w:b/>
          <w:bCs/>
          <w:sz w:val="32"/>
          <w:szCs w:val="32"/>
          <w:highlight w:val="none"/>
        </w:rPr>
      </w:pPr>
      <w:bookmarkStart w:id="16" w:name="_Toc133306690"/>
      <w:r>
        <w:rPr>
          <w:rFonts w:eastAsia="楷体_GB2312"/>
          <w:b/>
          <w:bCs/>
          <w:sz w:val="32"/>
          <w:szCs w:val="32"/>
          <w:highlight w:val="none"/>
        </w:rPr>
        <w:t>（二）资金管理情况分析</w:t>
      </w:r>
      <w:bookmarkEnd w:id="16"/>
    </w:p>
    <w:p>
      <w:pPr>
        <w:spacing w:line="600" w:lineRule="exact"/>
        <w:ind w:firstLine="642" w:firstLineChars="200"/>
        <w:rPr>
          <w:rFonts w:ascii="仿宋_GB2312" w:hAnsi="仿宋_GB2312" w:eastAsia="仿宋_GB2312" w:cs="仿宋_GB2312"/>
          <w:b/>
          <w:bCs/>
          <w:sz w:val="32"/>
          <w:szCs w:val="32"/>
          <w:highlight w:val="none"/>
        </w:rPr>
      </w:pPr>
      <w:bookmarkStart w:id="17" w:name="_Hlk161593644"/>
      <w:r>
        <w:rPr>
          <w:rFonts w:hint="eastAsia" w:ascii="仿宋_GB2312" w:hAnsi="仿宋_GB2312" w:eastAsia="仿宋_GB2312" w:cs="仿宋_GB2312"/>
          <w:b/>
          <w:bCs/>
          <w:sz w:val="32"/>
          <w:szCs w:val="32"/>
          <w:highlight w:val="none"/>
        </w:rPr>
        <w:t>1.分配科学性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（1）方案编制合规性</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2023年市农业农村委制定《农业生态资源保护资金项目实施方案》，浦东新区、上海市农业农村委员会执法总队、上海市水生野生动植物保护研究中心在收到市农业农村委下达预算后，同步制定相应的实施方案，明确实施条件、支持对象、实施要求和监管措施等内容，方案编制完整、合规。</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（2）分配科学性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农业生态资源保护资金项目严格按照市农业农村委部门转移支付管理制度以及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2.下达及时性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（1）方案报备及时性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市农业农村委农业生态资源保护资金项目实施方案按要求于2023年6月30日正式印发并报农财两部备案。</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（2）资金下达及时性</w:t>
      </w:r>
    </w:p>
    <w:p>
      <w:pPr>
        <w:spacing w:line="600" w:lineRule="exact"/>
        <w:ind w:firstLine="640" w:firstLineChars="200"/>
        <w:rPr>
          <w:rFonts w:ascii="仿宋_GB2312" w:hAnsi="仿宋_GB2312" w:eastAsia="仿宋_GB2312" w:cs="仿宋_GB2312"/>
          <w:bCs/>
          <w:sz w:val="32"/>
          <w:szCs w:val="32"/>
          <w:highlight w:val="none"/>
        </w:rPr>
      </w:pPr>
      <w:bookmarkStart w:id="18" w:name="_Hlk161588459"/>
      <w:r>
        <w:rPr>
          <w:rFonts w:hint="eastAsia" w:ascii="仿宋_GB2312" w:hAnsi="仿宋_GB2312" w:eastAsia="仿宋_GB2312" w:cs="仿宋_GB2312"/>
          <w:bCs/>
          <w:sz w:val="32"/>
          <w:szCs w:val="32"/>
          <w:highlight w:val="none"/>
        </w:rPr>
        <w:t>收到中央预算文件后，市农业农村委及时发布《关于下达2023年农业生态资源保护水生生物增殖放流项目工作任务的通知》（沪农委〔2023〕124号）、《农业生态资源保护资金项目实施方案》下达资金，资金下达及时。</w:t>
      </w:r>
      <w:bookmarkEnd w:id="18"/>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3.拨付合规性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（1）政策信息公开度</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市农业农村委按要求将中央财政转移支付政策和实施方案在市农业农村委员会官网进行公示。</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（2）资金拨付合规性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市农业农村委严格按照国库集中支付制度有关规定支付资金，资金拨付符合国库集中支付制度等有关规定。</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4.使用规范性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资金使用规范性</w:t>
      </w:r>
    </w:p>
    <w:p>
      <w:pPr>
        <w:spacing w:line="600" w:lineRule="exact"/>
        <w:ind w:firstLine="640" w:firstLineChars="200"/>
        <w:rPr>
          <w:rFonts w:ascii="仿宋_GB2312" w:hAnsi="仿宋_GB2312" w:eastAsia="仿宋_GB2312" w:cs="仿宋_GB2312"/>
          <w:bCs/>
          <w:sz w:val="32"/>
          <w:szCs w:val="32"/>
          <w:highlight w:val="none"/>
        </w:rPr>
      </w:pPr>
      <w:bookmarkStart w:id="19" w:name="_Hlk161581932"/>
      <w:r>
        <w:rPr>
          <w:rFonts w:hint="eastAsia" w:ascii="仿宋_GB2312" w:hAnsi="仿宋_GB2312" w:eastAsia="仿宋_GB2312" w:cs="仿宋_GB2312"/>
          <w:bCs/>
          <w:sz w:val="32"/>
          <w:szCs w:val="32"/>
          <w:highlight w:val="none"/>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bookmarkEnd w:id="19"/>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5.执行准确性</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（1）预算偏差率</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2023年本项目严格按照上级下达和本级预算安排的金额执行，不存在执行数偏离预算数较多的问题，预算偏差率为0%。</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（2）资金执行准确性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2023年农业生态资源保护资金支出明细填报规范、准确，自评数据真实、准确，未发现与平台数据不一致等情况。</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6.预算绩效管理</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（1）绩效目标合理性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在细化下达预算时同步下达绩效目标，根据农业生态资源保护资金实施方案中明确的绩效目标，将中央下达的预算指标分解至各子项目，并能根据市级配套资金同步增加相应的绩效目标，绩效目标合理。</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（2）绩效监控规范性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市农业农村委将有关资金纳入本级预算或对下转移支付绩效管理，开展绩效监控，并按要求上报2023年上海市农作物秸秆综合利用和渔业增殖放流工作总结等，绩效监控规范。</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（3）绩效评价有效性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市农业农村委将有关资金纳入本级预算或对下转移支付绩效管理，开展绩效评价，将绩效评价结果作为区县或项目单位资金分配的重要依据。</w:t>
      </w:r>
    </w:p>
    <w:p>
      <w:pPr>
        <w:spacing w:line="600" w:lineRule="exact"/>
        <w:ind w:firstLine="642"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7.支出责任履行</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（1）管理制度健全性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市农业农村委严格按照《财政部 农业农村部关于印发农业相关转移支付资金管理办法的通知》（财农〔2023〕11号）中《农业生态资源保护资金管理办法》及《农业相关转移支付资金绩效管理办法》（财农〔2019〕48号）等相关管理制度实施项目资金管理和绩效管理。</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（2）地方财政投入</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市农业农村委积极争取地方财政支持，利用自筹资金97.5万元，主要用于农作物秸秆综合利用项目。</w:t>
      </w:r>
    </w:p>
    <w:p>
      <w:pPr>
        <w:spacing w:line="600" w:lineRule="exact"/>
        <w:ind w:firstLine="642" w:firstLineChars="200"/>
        <w:outlineLvl w:val="1"/>
        <w:rPr>
          <w:rFonts w:eastAsia="楷体_GB2312"/>
          <w:b/>
          <w:bCs/>
          <w:sz w:val="32"/>
          <w:szCs w:val="32"/>
          <w:highlight w:val="none"/>
        </w:rPr>
      </w:pPr>
      <w:bookmarkStart w:id="20" w:name="_Toc133306691"/>
      <w:r>
        <w:rPr>
          <w:rFonts w:eastAsia="楷体_GB2312"/>
          <w:b/>
          <w:bCs/>
          <w:sz w:val="32"/>
          <w:szCs w:val="32"/>
          <w:highlight w:val="none"/>
        </w:rPr>
        <w:t>（三）总体绩效目标完成情况分析</w:t>
      </w:r>
      <w:bookmarkEnd w:id="20"/>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1.政策目标实现</w:t>
      </w:r>
    </w:p>
    <w:p>
      <w:pPr>
        <w:spacing w:line="600" w:lineRule="exact"/>
        <w:ind w:firstLine="642"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政策落实有效性</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根据《财政部关于下达2023年农业生态资源保护资金预算的通知》（财农〔2023〕22号）文件下达的绩效目标，2023年项目年度目标为按照相关或实施方案，结合地方实际开展农业生态资源保护。</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市农业农村委会同市财政局对项目资金及时下达分解至各使用单位，制定农业生态资源保护资金项目实施方案，明确主要用于创建秸秆综合利用县、开展渔业增殖放流等。</w:t>
      </w:r>
    </w:p>
    <w:p>
      <w:pPr>
        <w:spacing w:line="600" w:lineRule="exact"/>
        <w:ind w:firstLine="642"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农作物秸秆综合利用方面，</w:t>
      </w:r>
      <w:r>
        <w:rPr>
          <w:rFonts w:hint="eastAsia" w:ascii="仿宋_GB2312" w:hAnsi="仿宋_GB2312" w:eastAsia="仿宋_GB2312" w:cs="仿宋_GB2312"/>
          <w:bCs/>
          <w:sz w:val="32"/>
          <w:szCs w:val="32"/>
          <w:highlight w:val="none"/>
        </w:rPr>
        <w:t>2023年浦东新区二麦种植面积3.91万亩，基本全量还田；水稻种植面积17.06万亩，秸秆还田面积约12.25万亩，离田利用4.7万亩左右、约2.8万吨（基料化利用1.65万吨、饲料化利用0.55万吨、燃料化利用0.6万吨），秸秆综合利用率达99%以上。项目实施期间，实施单位完成秸秆离田利用1.97万吨左右，燃料化利用0.6万吨、饲料化利用0.43万吨、基料化利用0.94吨，占全区离田利用总量70%。</w:t>
      </w:r>
    </w:p>
    <w:p>
      <w:pPr>
        <w:spacing w:line="600" w:lineRule="exact"/>
        <w:ind w:firstLine="642" w:firstLineChars="200"/>
        <w:rPr>
          <w:rFonts w:eastAsia="仿宋_GB2312"/>
          <w:bCs/>
          <w:sz w:val="32"/>
          <w:szCs w:val="32"/>
          <w:highlight w:val="none"/>
        </w:rPr>
      </w:pPr>
      <w:r>
        <w:rPr>
          <w:rFonts w:hint="eastAsia" w:ascii="仿宋_GB2312" w:hAnsi="仿宋_GB2312" w:eastAsia="仿宋_GB2312" w:cs="仿宋_GB2312"/>
          <w:b/>
          <w:sz w:val="32"/>
          <w:szCs w:val="32"/>
          <w:highlight w:val="none"/>
        </w:rPr>
        <w:t>渔业增殖放流方面，</w:t>
      </w:r>
      <w:r>
        <w:rPr>
          <w:rFonts w:hint="eastAsia" w:ascii="仿宋_GB2312" w:hAnsi="仿宋_GB2312" w:eastAsia="仿宋_GB2312" w:cs="仿宋_GB2312"/>
          <w:bCs/>
          <w:sz w:val="32"/>
          <w:szCs w:val="32"/>
          <w:highlight w:val="none"/>
        </w:rPr>
        <w:t>2023年渔业增殖放流各项工作基本完成，2023年全市共执行中央资金水生生物苗种总计4958.753万尾，其中淡水经济物种4889万尾，海水经济物种63.85万尾，濒危珍稀物种5.903万尾，取得预期目标，政策落实有效。</w:t>
      </w:r>
      <w:r>
        <w:rPr>
          <w:rFonts w:eastAsia="仿宋_GB2312"/>
          <w:bCs/>
          <w:sz w:val="32"/>
          <w:szCs w:val="32"/>
          <w:highlight w:val="none"/>
        </w:rPr>
        <w:t xml:space="preserve"> </w:t>
      </w:r>
    </w:p>
    <w:p>
      <w:pPr>
        <w:spacing w:line="600" w:lineRule="exact"/>
        <w:ind w:firstLine="642" w:firstLineChars="200"/>
        <w:outlineLvl w:val="1"/>
        <w:rPr>
          <w:rFonts w:eastAsia="楷体_GB2312"/>
          <w:b/>
          <w:bCs/>
          <w:sz w:val="32"/>
          <w:szCs w:val="32"/>
          <w:highlight w:val="none"/>
        </w:rPr>
      </w:pPr>
      <w:bookmarkStart w:id="21" w:name="_Toc133306692"/>
      <w:r>
        <w:rPr>
          <w:rFonts w:eastAsia="楷体_GB2312"/>
          <w:b/>
          <w:bCs/>
          <w:sz w:val="32"/>
          <w:szCs w:val="32"/>
          <w:highlight w:val="none"/>
        </w:rPr>
        <w:t>（四）绩效指标完成情况分析</w:t>
      </w:r>
      <w:bookmarkEnd w:id="21"/>
    </w:p>
    <w:p>
      <w:pPr>
        <w:spacing w:line="600" w:lineRule="exact"/>
        <w:ind w:firstLine="642" w:firstLineChars="200"/>
        <w:rPr>
          <w:rFonts w:ascii="仿宋_GB2312" w:hAnsi="仿宋_GB2312" w:eastAsia="仿宋_GB2312" w:cs="仿宋_GB2312"/>
          <w:b/>
          <w:bCs/>
          <w:sz w:val="32"/>
          <w:szCs w:val="32"/>
          <w:highlight w:val="none"/>
        </w:rPr>
      </w:pPr>
      <w:bookmarkStart w:id="22" w:name="_Toc68033654"/>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kern w:val="0"/>
          <w:sz w:val="32"/>
          <w:szCs w:val="32"/>
          <w:highlight w:val="none"/>
        </w:rPr>
        <w:t>产出指标完成情况</w:t>
      </w:r>
    </w:p>
    <w:p>
      <w:pPr>
        <w:widowControl/>
        <w:spacing w:line="600" w:lineRule="exact"/>
        <w:ind w:firstLine="64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2"/>
          <w:szCs w:val="32"/>
          <w:highlight w:val="none"/>
        </w:rPr>
        <w:t>产粗指标项数共计3项，具体完成情况见下表。</w:t>
      </w:r>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表</w:t>
      </w:r>
      <w:r>
        <w:rPr>
          <w:rFonts w:hint="eastAsia" w:ascii="楷体_GB2312" w:hAnsi="楷体_GB2312" w:eastAsia="楷体_GB2312" w:cs="楷体_GB2312"/>
          <w:b/>
          <w:sz w:val="32"/>
          <w:szCs w:val="32"/>
          <w:highlight w:val="none"/>
        </w:rPr>
        <w:t xml:space="preserve">3 </w:t>
      </w:r>
      <w:r>
        <w:rPr>
          <w:rFonts w:ascii="楷体_GB2312" w:hAnsi="楷体_GB2312" w:eastAsia="楷体_GB2312" w:cs="楷体_GB2312"/>
          <w:b/>
          <w:sz w:val="32"/>
          <w:szCs w:val="32"/>
          <w:highlight w:val="none"/>
        </w:rPr>
        <w:t xml:space="preserve"> 2023年农业生态资源保护资金转移支付项目</w:t>
      </w:r>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产出指标完成表</w:t>
      </w:r>
    </w:p>
    <w:tbl>
      <w:tblPr>
        <w:tblStyle w:val="13"/>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113"/>
        <w:gridCol w:w="150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45" w:type="dxa"/>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二级指标</w:t>
            </w:r>
          </w:p>
        </w:tc>
        <w:tc>
          <w:tcPr>
            <w:tcW w:w="5113" w:type="dxa"/>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501" w:type="dxa"/>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653" w:type="dxa"/>
            <w:shd w:val="clear" w:color="auto" w:fill="auto"/>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5" w:type="dxa"/>
            <w:vMerge w:val="restart"/>
            <w:shd w:val="clear" w:color="auto" w:fill="auto"/>
            <w:vAlign w:val="center"/>
          </w:tcPr>
          <w:p>
            <w:pPr>
              <w:widowControl/>
              <w:jc w:val="cente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5113" w:type="dxa"/>
            <w:shd w:val="clear" w:color="000000" w:fill="FFFFFF"/>
            <w:vAlign w:val="center"/>
          </w:tcPr>
          <w:p>
            <w:pPr>
              <w:widowControl/>
              <w:jc w:val="center"/>
              <w:rPr>
                <w:rFonts w:ascii="仿宋_GB2312" w:hAnsi="仿宋_GB2312" w:eastAsia="仿宋_GB2312" w:cs="仿宋_GB2312"/>
                <w:kern w:val="0"/>
                <w:sz w:val="24"/>
                <w:szCs w:val="24"/>
                <w:highlight w:val="none"/>
              </w:rPr>
            </w:pPr>
            <w:bookmarkStart w:id="23" w:name="_Hlk161641144"/>
            <w:r>
              <w:rPr>
                <w:rFonts w:hint="eastAsia" w:ascii="仿宋_GB2312" w:hAnsi="仿宋_GB2312" w:eastAsia="仿宋_GB2312" w:cs="仿宋_GB2312"/>
                <w:kern w:val="0"/>
                <w:sz w:val="24"/>
                <w:szCs w:val="24"/>
                <w:highlight w:val="none"/>
              </w:rPr>
              <w:t>建设秸秆综合利用重点县数量</w:t>
            </w:r>
            <w:bookmarkEnd w:id="23"/>
            <w:r>
              <w:rPr>
                <w:rFonts w:hint="eastAsia" w:ascii="仿宋_GB2312" w:hAnsi="仿宋_GB2312" w:eastAsia="仿宋_GB2312" w:cs="仿宋_GB2312"/>
                <w:kern w:val="0"/>
                <w:sz w:val="24"/>
                <w:szCs w:val="24"/>
                <w:highlight w:val="none"/>
              </w:rPr>
              <w:t>（个）</w:t>
            </w:r>
          </w:p>
        </w:tc>
        <w:tc>
          <w:tcPr>
            <w:tcW w:w="1501"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65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5" w:type="dxa"/>
            <w:vMerge w:val="continue"/>
            <w:shd w:val="clear" w:color="auto" w:fill="auto"/>
            <w:vAlign w:val="center"/>
          </w:tcPr>
          <w:p>
            <w:pPr>
              <w:widowControl/>
              <w:jc w:val="center"/>
              <w:rPr>
                <w:rFonts w:ascii="仿宋_GB2312" w:hAnsi="仿宋_GB2312" w:eastAsia="仿宋_GB2312" w:cs="仿宋_GB2312"/>
                <w:color w:val="000000"/>
                <w:kern w:val="0"/>
                <w:sz w:val="24"/>
                <w:szCs w:val="24"/>
                <w:highlight w:val="none"/>
              </w:rPr>
            </w:pPr>
          </w:p>
        </w:tc>
        <w:tc>
          <w:tcPr>
            <w:tcW w:w="5113" w:type="dxa"/>
            <w:shd w:val="clear" w:color="000000" w:fill="FFFFFF"/>
            <w:vAlign w:val="center"/>
          </w:tcPr>
          <w:p>
            <w:pPr>
              <w:widowControl/>
              <w:jc w:val="center"/>
              <w:rPr>
                <w:rFonts w:ascii="仿宋_GB2312" w:hAnsi="仿宋_GB2312" w:eastAsia="仿宋_GB2312" w:cs="仿宋_GB2312"/>
                <w:kern w:val="0"/>
                <w:sz w:val="24"/>
                <w:szCs w:val="24"/>
                <w:highlight w:val="none"/>
              </w:rPr>
            </w:pPr>
            <w:bookmarkStart w:id="24" w:name="_Hlk161577004"/>
            <w:r>
              <w:rPr>
                <w:rFonts w:hint="eastAsia" w:ascii="仿宋_GB2312" w:hAnsi="仿宋_GB2312" w:eastAsia="仿宋_GB2312" w:cs="仿宋_GB2312"/>
                <w:kern w:val="0"/>
                <w:sz w:val="24"/>
                <w:szCs w:val="24"/>
                <w:highlight w:val="none"/>
              </w:rPr>
              <w:t>渔业增殖放流规模（万单位）</w:t>
            </w:r>
            <w:bookmarkEnd w:id="24"/>
          </w:p>
        </w:tc>
        <w:tc>
          <w:tcPr>
            <w:tcW w:w="1501"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4900</w:t>
            </w:r>
          </w:p>
        </w:tc>
        <w:tc>
          <w:tcPr>
            <w:tcW w:w="165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4958.753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5" w:type="dxa"/>
            <w:shd w:val="clear" w:color="auto" w:fill="auto"/>
            <w:vAlign w:val="center"/>
          </w:tcPr>
          <w:p>
            <w:pPr>
              <w:widowControl/>
              <w:jc w:val="center"/>
              <w:rPr>
                <w:rFonts w:ascii="仿宋_GB2312" w:hAnsi="仿宋_GB2312" w:eastAsia="仿宋_GB2312" w:cs="仿宋_GB2312"/>
                <w:color w:val="000000"/>
                <w:kern w:val="0"/>
                <w:sz w:val="24"/>
                <w:szCs w:val="24"/>
                <w:highlight w:val="none"/>
              </w:rPr>
            </w:pPr>
            <w:bookmarkStart w:id="25" w:name="_Hlk161641461"/>
            <w:r>
              <w:rPr>
                <w:rFonts w:hint="eastAsia" w:ascii="仿宋_GB2312" w:hAnsi="仿宋_GB2312" w:eastAsia="仿宋_GB2312" w:cs="仿宋_GB2312"/>
                <w:color w:val="000000"/>
                <w:kern w:val="0"/>
                <w:sz w:val="24"/>
                <w:szCs w:val="24"/>
                <w:highlight w:val="none"/>
              </w:rPr>
              <w:t>质量指标</w:t>
            </w:r>
          </w:p>
        </w:tc>
        <w:tc>
          <w:tcPr>
            <w:tcW w:w="511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秸秆综合利用重点县秸秆综合利用率</w:t>
            </w:r>
          </w:p>
        </w:tc>
        <w:tc>
          <w:tcPr>
            <w:tcW w:w="1501"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653"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99%</w:t>
            </w:r>
          </w:p>
        </w:tc>
      </w:tr>
      <w:bookmarkEnd w:id="25"/>
    </w:tbl>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（1）建设秸秆综合利用重点县数量</w:t>
      </w:r>
    </w:p>
    <w:p>
      <w:pPr>
        <w:widowControl/>
        <w:spacing w:line="600" w:lineRule="atLeas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浦东新区二麦种植面积3.91万亩，基本全量还田；水稻种植面积17.06万亩，秸秆还田面积约12.25万亩，离田利用4.7万亩左右、约2.8万吨，其中基料化利用1.65万吨、饲料化利用0.55万吨、燃料化利用0.6万吨，秸秆综合利用率达99%以上。浦东新区结合市场主体建设，建立了4个秸秆综合利用展示基地，强化典型示范引领，示范展示秸秆综合利用技术。2023年，为进一步完善相关秸秆离田利用技术路线，分别在基料化、饲料化、燃料化三种利用模式上共设立3个试验示范点，对三种秸秆综合利用技术进行试验研究，探索可推广、可操作、可持续的秸秆综合利用模式，做好新技术储备，进一步提升全区秸秆综合利用水平。2023年浦东新区通过秸秆打捆厌氧发酵技术制作裹包饲料，提高裹包饲料质量，年产饲料4300吨，裹包饲料每吨销售额达320元/吨，因市场竞争激烈，比2022年有所降低；利用秸秆作为基料种植食用菌，提高菌菇产量，年产食用菌450吨以上，菌菇亩销售额达7000元/亩；通过秸秆协同处置的生物干化技术，提升厨余垃圾燃烧发电效率，年产燃料12000吨，提高燃料毛利润70元/吨。2023年浦东新区基本实现《农业农村部办公厅关于做好2023年农作物秸秆综合利用工作的通知》（农办科〔2023〕13号）和《关于下达2023 年中央财政农业生态资源保护资金（农作物秸秆综合利用）的通知》（沪财农〔2023〕42号）下达的任务目标，基本完成秸秆综合利用重点县创建工作。</w:t>
      </w:r>
    </w:p>
    <w:p>
      <w:pPr>
        <w:widowControl/>
        <w:spacing w:line="600" w:lineRule="atLeast"/>
        <w:ind w:firstLine="646" w:firstLineChars="202"/>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该指标计划值1个，实际完成值1个。</w:t>
      </w:r>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（2）渔业增殖放流规模</w:t>
      </w:r>
    </w:p>
    <w:p>
      <w:pPr>
        <w:widowControl/>
        <w:spacing w:line="600" w:lineRule="atLeast"/>
        <w:ind w:firstLine="640" w:firstLineChars="200"/>
        <w:jc w:val="left"/>
        <w:rPr>
          <w:rFonts w:ascii="仿宋_GB2312" w:hAnsi="仿宋_GB2312" w:eastAsia="仿宋_GB2312" w:cs="仿宋_GB2312"/>
          <w:kern w:val="0"/>
          <w:sz w:val="32"/>
          <w:szCs w:val="32"/>
          <w:highlight w:val="none"/>
        </w:rPr>
      </w:pPr>
      <w:bookmarkStart w:id="26" w:name="_Hlk99362895"/>
      <w:r>
        <w:rPr>
          <w:rFonts w:hint="eastAsia" w:ascii="仿宋_GB2312" w:hAnsi="仿宋_GB2312" w:eastAsia="仿宋_GB2312" w:cs="仿宋_GB2312"/>
          <w:kern w:val="0"/>
          <w:sz w:val="32"/>
          <w:szCs w:val="32"/>
          <w:highlight w:val="none"/>
        </w:rPr>
        <w:t>根据财政部《财政部关于下达2023年农业生态资源保护资金预算的通知》（财农〔2023〕22号）精神，下达我市渔业增殖放流4900万单位。市农业农村委委托上海市农业农村委员会执法总队、上海市水生野生动植物保护研究中心实施渔业增殖放流，2023年全市共执行中央资金水生生物苗种总计4958.753万尾，其中淡水经济物种4889万尾，海水经济物种63.85万尾，濒危珍稀物种5.903万尾，合计4958.753万尾，超额完成绩效目标任务。</w:t>
      </w:r>
    </w:p>
    <w:bookmarkEnd w:id="26"/>
    <w:p>
      <w:pPr>
        <w:widowControl/>
        <w:spacing w:line="600" w:lineRule="atLeast"/>
        <w:ind w:firstLine="640" w:firstLineChars="200"/>
        <w:jc w:val="left"/>
        <w:rPr>
          <w:rFonts w:ascii="仿宋_GB2312" w:hAnsi="仿宋_GB2312" w:eastAsia="仿宋_GB2312" w:cs="仿宋_GB2312"/>
          <w:kern w:val="0"/>
          <w:sz w:val="32"/>
          <w:szCs w:val="32"/>
          <w:highlight w:val="none"/>
        </w:rPr>
      </w:pPr>
      <w:bookmarkStart w:id="27" w:name="_Hlk161576944"/>
      <w:r>
        <w:rPr>
          <w:rFonts w:hint="eastAsia" w:ascii="仿宋_GB2312" w:hAnsi="仿宋_GB2312" w:eastAsia="仿宋_GB2312" w:cs="仿宋_GB2312"/>
          <w:kern w:val="0"/>
          <w:sz w:val="32"/>
          <w:szCs w:val="32"/>
          <w:highlight w:val="none"/>
        </w:rPr>
        <w:t>该指标计划值4900万单位，实际完成值4958.853万尾。</w:t>
      </w:r>
      <w:bookmarkEnd w:id="27"/>
    </w:p>
    <w:p>
      <w:pPr>
        <w:widowControl/>
        <w:spacing w:line="600" w:lineRule="atLeas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（3）秸秆综合利用重点县秸秆综合利用率</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根据财政部《财政部关于下达2023年农业生态资源保护资金预算的通知》（财农〔2023〕22号）精神，要求秸秆综合利用重点县秸秆综合利用率超过90%，2023年浦东新区秸秆综合利用率达99%以上。</w:t>
      </w:r>
    </w:p>
    <w:p>
      <w:pPr>
        <w:widowControl/>
        <w:spacing w:line="600" w:lineRule="exact"/>
        <w:ind w:firstLine="640" w:firstLineChars="200"/>
        <w:contextualSpacing/>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该指标计划值是≥90%，实际完成值为99%以上。</w:t>
      </w:r>
    </w:p>
    <w:p>
      <w:pPr>
        <w:keepNext/>
        <w:widowControl/>
        <w:spacing w:line="600" w:lineRule="exact"/>
        <w:ind w:firstLine="642" w:firstLineChars="200"/>
        <w:contextualSpacing/>
        <w:rPr>
          <w:rFonts w:eastAsia="仿宋_GB2312"/>
          <w:b/>
          <w:bCs/>
          <w:kern w:val="0"/>
          <w:sz w:val="32"/>
          <w:szCs w:val="32"/>
          <w:highlight w:val="none"/>
        </w:rPr>
      </w:pPr>
      <w:bookmarkStart w:id="28" w:name="_Toc99912837"/>
      <w:r>
        <w:rPr>
          <w:rFonts w:hint="eastAsia" w:ascii="仿宋_GB2312" w:hAnsi="仿宋_GB2312" w:eastAsia="仿宋_GB2312" w:cs="仿宋_GB2312"/>
          <w:b/>
          <w:bCs/>
          <w:kern w:val="0"/>
          <w:sz w:val="32"/>
          <w:szCs w:val="32"/>
          <w:highlight w:val="none"/>
        </w:rPr>
        <w:t>2.效益指标</w:t>
      </w:r>
      <w:bookmarkEnd w:id="28"/>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表</w:t>
      </w:r>
      <w:r>
        <w:rPr>
          <w:rFonts w:hint="eastAsia" w:ascii="楷体_GB2312" w:hAnsi="楷体_GB2312" w:eastAsia="楷体_GB2312" w:cs="楷体_GB2312"/>
          <w:b/>
          <w:sz w:val="32"/>
          <w:szCs w:val="32"/>
          <w:highlight w:val="none"/>
        </w:rPr>
        <w:t xml:space="preserve">4 </w:t>
      </w:r>
      <w:r>
        <w:rPr>
          <w:rFonts w:ascii="楷体_GB2312" w:hAnsi="楷体_GB2312" w:eastAsia="楷体_GB2312" w:cs="楷体_GB2312"/>
          <w:b/>
          <w:sz w:val="32"/>
          <w:szCs w:val="32"/>
          <w:highlight w:val="none"/>
        </w:rPr>
        <w:t xml:space="preserve"> 2023年农业生态资源保护资金转移支付项目</w:t>
      </w:r>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效益指标完成表</w:t>
      </w:r>
    </w:p>
    <w:tbl>
      <w:tblPr>
        <w:tblStyle w:val="13"/>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4434"/>
        <w:gridCol w:w="10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982"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二级指标</w:t>
            </w:r>
          </w:p>
        </w:tc>
        <w:tc>
          <w:tcPr>
            <w:tcW w:w="4434"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069"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527"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2"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社会效益指标</w:t>
            </w:r>
          </w:p>
        </w:tc>
        <w:tc>
          <w:tcPr>
            <w:tcW w:w="4434" w:type="dxa"/>
            <w:shd w:val="clear" w:color="000000" w:fill="FFFFFF"/>
            <w:vAlign w:val="center"/>
          </w:tcPr>
          <w:p>
            <w:pPr>
              <w:widowControl/>
              <w:jc w:val="left"/>
              <w:rPr>
                <w:rFonts w:ascii="仿宋_GB2312" w:hAnsi="仿宋_GB2312" w:eastAsia="仿宋_GB2312" w:cs="仿宋_GB2312"/>
                <w:kern w:val="0"/>
                <w:sz w:val="24"/>
                <w:szCs w:val="24"/>
                <w:highlight w:val="none"/>
              </w:rPr>
            </w:pPr>
            <w:bookmarkStart w:id="29" w:name="_Hlk161641938"/>
            <w:r>
              <w:rPr>
                <w:rFonts w:hint="eastAsia" w:ascii="仿宋_GB2312" w:hAnsi="仿宋_GB2312" w:eastAsia="仿宋_GB2312" w:cs="仿宋_GB2312"/>
                <w:kern w:val="0"/>
                <w:sz w:val="24"/>
                <w:szCs w:val="24"/>
                <w:highlight w:val="none"/>
              </w:rPr>
              <w:t>以县为单位建设秸秆资源台账</w:t>
            </w:r>
            <w:bookmarkEnd w:id="29"/>
          </w:p>
        </w:tc>
        <w:tc>
          <w:tcPr>
            <w:tcW w:w="1069"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建立</w:t>
            </w:r>
          </w:p>
        </w:tc>
        <w:tc>
          <w:tcPr>
            <w:tcW w:w="1527"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2"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社会效益指标</w:t>
            </w:r>
          </w:p>
        </w:tc>
        <w:tc>
          <w:tcPr>
            <w:tcW w:w="4434"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资金使用重大违规违纪问题</w:t>
            </w:r>
          </w:p>
        </w:tc>
        <w:tc>
          <w:tcPr>
            <w:tcW w:w="1069"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1527"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82"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生态效益指标</w:t>
            </w:r>
          </w:p>
        </w:tc>
        <w:tc>
          <w:tcPr>
            <w:tcW w:w="4434" w:type="dxa"/>
            <w:shd w:val="clear" w:color="000000" w:fill="FFFFFF"/>
            <w:vAlign w:val="center"/>
          </w:tcPr>
          <w:p>
            <w:pPr>
              <w:widowControl/>
              <w:jc w:val="left"/>
              <w:rPr>
                <w:rFonts w:ascii="仿宋_GB2312" w:hAnsi="仿宋_GB2312" w:eastAsia="仿宋_GB2312" w:cs="仿宋_GB2312"/>
                <w:kern w:val="0"/>
                <w:sz w:val="24"/>
                <w:szCs w:val="24"/>
                <w:highlight w:val="none"/>
              </w:rPr>
            </w:pPr>
            <w:bookmarkStart w:id="30" w:name="_Hlk161642035"/>
            <w:r>
              <w:rPr>
                <w:rFonts w:hint="eastAsia" w:ascii="仿宋_GB2312" w:hAnsi="仿宋_GB2312" w:eastAsia="仿宋_GB2312" w:cs="仿宋_GB2312"/>
                <w:kern w:val="0"/>
                <w:sz w:val="24"/>
                <w:szCs w:val="24"/>
                <w:highlight w:val="none"/>
              </w:rPr>
              <w:t>重要经济物种放流资源贡献率</w:t>
            </w:r>
            <w:bookmarkEnd w:id="30"/>
          </w:p>
        </w:tc>
        <w:tc>
          <w:tcPr>
            <w:tcW w:w="1069" w:type="dxa"/>
            <w:shd w:val="clear" w:color="000000" w:fill="FFFFFF"/>
            <w:vAlign w:val="center"/>
          </w:tcPr>
          <w:p>
            <w:pPr>
              <w:widowControl/>
              <w:jc w:val="center"/>
              <w:rPr>
                <w:rFonts w:ascii="仿宋_GB2312" w:hAnsi="仿宋_GB2312" w:eastAsia="仿宋_GB2312" w:cs="仿宋_GB2312"/>
                <w:kern w:val="0"/>
                <w:sz w:val="24"/>
                <w:szCs w:val="24"/>
                <w:highlight w:val="none"/>
              </w:rPr>
            </w:pPr>
            <w:bookmarkStart w:id="31" w:name="_Hlk161642054"/>
            <w:r>
              <w:rPr>
                <w:rFonts w:hint="eastAsia" w:ascii="仿宋_GB2312" w:hAnsi="仿宋_GB2312" w:eastAsia="仿宋_GB2312" w:cs="仿宋_GB2312"/>
                <w:kern w:val="0"/>
                <w:sz w:val="24"/>
                <w:szCs w:val="24"/>
                <w:highlight w:val="none"/>
              </w:rPr>
              <w:t>≥2%</w:t>
            </w:r>
            <w:bookmarkEnd w:id="31"/>
          </w:p>
        </w:tc>
        <w:tc>
          <w:tcPr>
            <w:tcW w:w="1527"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r>
    </w:tbl>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（1）以县为单位建设秸秆资源台账</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浦东新区农机农艺部门联合各镇，对全区水稻、麦子等秸秆产量和利用量进行统计，摸清资源底数和利用情况，认真做好2022年秸秆资源台账数据采集、初审和上报，为制定相关政策和规划、进行产业布局和管理提供技术支撑。</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该指标计划值“建立”，实际完成值“建立”，完成计划目标值。</w:t>
      </w:r>
    </w:p>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（2）资金使用重大违规违纪问题</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2023年无资金使用重大违规违纪问题。</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该指标计划值“无”，实际完成值“无”，完成计划目标值。</w:t>
      </w:r>
    </w:p>
    <w:p>
      <w:pPr>
        <w:widowControl/>
        <w:spacing w:line="600" w:lineRule="exact"/>
        <w:ind w:left="560"/>
        <w:contextualSpacing/>
        <w:jc w:val="left"/>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（3）重要经济物种放流资源贡献率</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2023年继续委托上海海洋大学、上海市水产研究所、水科院淡水研究中心等科研单位在淀山湖、黄浦江、长江口、杭州湾水域开展“增殖放流效果资源监测项目”。项目实施单位通过拖网监测、声呐监测、定点监测、社会调研、收集渔业生产信息、定性分析等方式，对增殖放流效果进行评估，根据评估结果重要经济物种放流资源贡献率达到2%以上。</w:t>
      </w:r>
    </w:p>
    <w:p>
      <w:pPr>
        <w:widowControl/>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该指标计划值≥2%，实际完成值≥2%，完成计划目标值。</w:t>
      </w:r>
    </w:p>
    <w:p>
      <w:pPr>
        <w:keepNext/>
        <w:widowControl/>
        <w:spacing w:line="600" w:lineRule="exact"/>
        <w:ind w:firstLine="642" w:firstLineChars="200"/>
        <w:contextualSpacing/>
        <w:rPr>
          <w:rFonts w:eastAsia="仿宋_GB2312"/>
          <w:b/>
          <w:bCs/>
          <w:kern w:val="0"/>
          <w:sz w:val="30"/>
          <w:szCs w:val="30"/>
          <w:highlight w:val="none"/>
        </w:rPr>
      </w:pPr>
      <w:bookmarkStart w:id="32" w:name="_Toc99912838"/>
      <w:r>
        <w:rPr>
          <w:rFonts w:hint="eastAsia" w:ascii="仿宋_GB2312" w:hAnsi="仿宋_GB2312" w:eastAsia="仿宋_GB2312" w:cs="仿宋_GB2312"/>
          <w:b/>
          <w:bCs/>
          <w:kern w:val="0"/>
          <w:sz w:val="32"/>
          <w:szCs w:val="32"/>
          <w:highlight w:val="none"/>
        </w:rPr>
        <w:t>3.满意度指标</w:t>
      </w:r>
      <w:bookmarkEnd w:id="32"/>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表</w:t>
      </w:r>
      <w:r>
        <w:rPr>
          <w:rFonts w:hint="eastAsia" w:ascii="楷体_GB2312" w:hAnsi="楷体_GB2312" w:eastAsia="楷体_GB2312" w:cs="楷体_GB2312"/>
          <w:b/>
          <w:sz w:val="32"/>
          <w:szCs w:val="32"/>
          <w:highlight w:val="none"/>
        </w:rPr>
        <w:t xml:space="preserve">5 </w:t>
      </w:r>
      <w:r>
        <w:rPr>
          <w:rFonts w:ascii="楷体_GB2312" w:hAnsi="楷体_GB2312" w:eastAsia="楷体_GB2312" w:cs="楷体_GB2312"/>
          <w:b/>
          <w:sz w:val="32"/>
          <w:szCs w:val="32"/>
          <w:highlight w:val="none"/>
        </w:rPr>
        <w:t xml:space="preserve"> 2023年农业生态资源保护资金转移支付项目</w:t>
      </w:r>
    </w:p>
    <w:p>
      <w:pPr>
        <w:spacing w:line="600" w:lineRule="exact"/>
        <w:ind w:firstLine="642" w:firstLineChars="200"/>
        <w:jc w:val="center"/>
        <w:rPr>
          <w:rFonts w:ascii="楷体_GB2312" w:hAnsi="楷体_GB2312" w:eastAsia="楷体_GB2312" w:cs="楷体_GB2312"/>
          <w:b/>
          <w:sz w:val="32"/>
          <w:szCs w:val="32"/>
          <w:highlight w:val="none"/>
        </w:rPr>
      </w:pPr>
      <w:r>
        <w:rPr>
          <w:rFonts w:ascii="楷体_GB2312" w:hAnsi="楷体_GB2312" w:eastAsia="楷体_GB2312" w:cs="楷体_GB2312"/>
          <w:b/>
          <w:sz w:val="32"/>
          <w:szCs w:val="32"/>
          <w:highlight w:val="none"/>
        </w:rPr>
        <w:t>满意度指标完成表</w:t>
      </w:r>
    </w:p>
    <w:tbl>
      <w:tblPr>
        <w:tblStyle w:val="13"/>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357"/>
        <w:gridCol w:w="1242"/>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04"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二级指标</w:t>
            </w:r>
          </w:p>
        </w:tc>
        <w:tc>
          <w:tcPr>
            <w:tcW w:w="4357"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三级指标</w:t>
            </w:r>
          </w:p>
        </w:tc>
        <w:tc>
          <w:tcPr>
            <w:tcW w:w="1242"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指标值</w:t>
            </w:r>
          </w:p>
        </w:tc>
        <w:tc>
          <w:tcPr>
            <w:tcW w:w="1709" w:type="dxa"/>
            <w:shd w:val="clear" w:color="000000" w:fill="FFFFFF"/>
            <w:vAlign w:val="center"/>
          </w:tcPr>
          <w:p>
            <w:pPr>
              <w:widowControl/>
              <w:jc w:val="center"/>
              <w:rPr>
                <w:rFonts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04" w:type="dxa"/>
            <w:shd w:val="clear" w:color="000000" w:fill="FFFFFF"/>
            <w:vAlign w:val="center"/>
          </w:tcPr>
          <w:p>
            <w:pPr>
              <w:widowControl/>
              <w:jc w:val="center"/>
              <w:rPr>
                <w:rFonts w:ascii="仿宋_GB2312" w:hAnsi="仿宋_GB2312" w:eastAsia="仿宋_GB2312" w:cs="仿宋_GB2312"/>
                <w:kern w:val="0"/>
                <w:sz w:val="24"/>
                <w:szCs w:val="24"/>
                <w:highlight w:val="none"/>
              </w:rPr>
            </w:pPr>
            <w:bookmarkStart w:id="33" w:name="_Hlk161582026"/>
            <w:r>
              <w:rPr>
                <w:rFonts w:hint="eastAsia" w:ascii="仿宋_GB2312" w:hAnsi="仿宋_GB2312" w:eastAsia="仿宋_GB2312" w:cs="仿宋_GB2312"/>
                <w:kern w:val="0"/>
                <w:sz w:val="24"/>
                <w:szCs w:val="24"/>
                <w:highlight w:val="none"/>
              </w:rPr>
              <w:t>服务对象满意度指标</w:t>
            </w:r>
          </w:p>
        </w:tc>
        <w:tc>
          <w:tcPr>
            <w:tcW w:w="4357" w:type="dxa"/>
            <w:shd w:val="clear" w:color="000000" w:fill="FFFFFF"/>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增殖放流区域内抽样调查满意度</w:t>
            </w:r>
          </w:p>
        </w:tc>
        <w:tc>
          <w:tcPr>
            <w:tcW w:w="1242"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≥80%</w:t>
            </w:r>
          </w:p>
        </w:tc>
        <w:tc>
          <w:tcPr>
            <w:tcW w:w="1709" w:type="dxa"/>
            <w:shd w:val="clear" w:color="000000" w:fill="FFFFFF"/>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≥80%</w:t>
            </w:r>
          </w:p>
        </w:tc>
      </w:tr>
      <w:bookmarkEnd w:id="33"/>
    </w:tbl>
    <w:p>
      <w:pPr>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通过抽样调查，增殖放流区域内抽样调查满意度≥80%。</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该指标计划值</w:t>
      </w:r>
      <w:r>
        <w:rPr>
          <w:rFonts w:hint="eastAsia" w:ascii="仿宋_GB2312" w:hAnsi="仿宋_GB2312" w:eastAsia="仿宋_GB2312" w:cs="仿宋_GB2312"/>
          <w:kern w:val="0"/>
          <w:sz w:val="32"/>
          <w:szCs w:val="32"/>
          <w:highlight w:val="none"/>
        </w:rPr>
        <w:t>≥80%，实际完成值≥80%，完成计划目标值。</w:t>
      </w:r>
    </w:p>
    <w:p>
      <w:pPr>
        <w:spacing w:line="600" w:lineRule="exact"/>
        <w:ind w:firstLine="642" w:firstLineChars="200"/>
        <w:outlineLvl w:val="0"/>
        <w:rPr>
          <w:rFonts w:ascii="黑体" w:hAnsi="黑体" w:eastAsia="黑体" w:cs="黑体"/>
          <w:b/>
          <w:bCs/>
          <w:sz w:val="32"/>
          <w:szCs w:val="32"/>
          <w:highlight w:val="none"/>
        </w:rPr>
      </w:pPr>
      <w:bookmarkStart w:id="34" w:name="_Toc133306693"/>
      <w:r>
        <w:rPr>
          <w:rFonts w:hint="eastAsia" w:ascii="黑体" w:hAnsi="黑体" w:eastAsia="黑体" w:cs="黑体"/>
          <w:b/>
          <w:bCs/>
          <w:sz w:val="32"/>
          <w:szCs w:val="32"/>
          <w:highlight w:val="none"/>
        </w:rPr>
        <w:t>三、偏离绩效目标的原因和下一步改进措施</w:t>
      </w:r>
      <w:bookmarkEnd w:id="22"/>
      <w:bookmarkEnd w:id="34"/>
    </w:p>
    <w:p>
      <w:pPr>
        <w:spacing w:line="600" w:lineRule="exact"/>
        <w:ind w:firstLine="640" w:firstLineChars="200"/>
        <w:rPr>
          <w:rFonts w:ascii="仿宋_GB2312" w:hAnsi="仿宋_GB2312" w:eastAsia="仿宋_GB2312" w:cs="仿宋_GB2312"/>
          <w:bCs/>
          <w:sz w:val="32"/>
          <w:szCs w:val="32"/>
          <w:highlight w:val="none"/>
        </w:rPr>
      </w:pPr>
      <w:bookmarkStart w:id="35" w:name="_Toc68033655"/>
      <w:r>
        <w:rPr>
          <w:rFonts w:hint="eastAsia" w:ascii="仿宋_GB2312" w:hAnsi="仿宋_GB2312" w:eastAsia="仿宋_GB2312" w:cs="仿宋_GB2312"/>
          <w:bCs/>
          <w:sz w:val="32"/>
          <w:szCs w:val="32"/>
          <w:highlight w:val="none"/>
        </w:rPr>
        <w:t>本项目2023年完成情况较好，按照《财政部关于下达2023年农业生态资源保护资金预算的通知》（财农〔2023〕22号）等文件精神，结合上海市农业生态资源保护工作实际，制定《农业生态资源保护资金项目实施方案》并严格执行，开展创建秸秆综合利用重点县、渔业增殖放流等工作，取得良好效果。</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2023年预算执行率稍低，偏离绩效目标，主要由于创建秸秆综合利用县项目定为先建后补类项目，项目资金需在项目验收后才下拨，前期产生的费用由各相关单位垫付。但由于项目中设备采购流程较长，部分设备采购还未结束，导致后续审计、项目验收评审等工作延迟，中央资金不能及时拨付，影响预算执行率。下一步将结余资金结转至2024年继续用于项目支出，同时做好督促工作，待设备到位后，加快开展审计、验收等工作，尽快完成资金拨付。</w:t>
      </w:r>
    </w:p>
    <w:p>
      <w:pPr>
        <w:spacing w:line="600" w:lineRule="exact"/>
        <w:ind w:firstLine="642" w:firstLineChars="200"/>
        <w:outlineLvl w:val="0"/>
        <w:rPr>
          <w:rFonts w:ascii="黑体" w:hAnsi="黑体" w:eastAsia="黑体" w:cs="黑体"/>
          <w:b/>
          <w:bCs/>
          <w:sz w:val="32"/>
          <w:szCs w:val="32"/>
          <w:highlight w:val="none"/>
        </w:rPr>
      </w:pPr>
      <w:bookmarkStart w:id="36" w:name="_Toc133306694"/>
      <w:r>
        <w:rPr>
          <w:rFonts w:hint="eastAsia" w:ascii="黑体" w:hAnsi="黑体" w:eastAsia="黑体" w:cs="黑体"/>
          <w:b/>
          <w:bCs/>
          <w:sz w:val="32"/>
          <w:szCs w:val="32"/>
          <w:highlight w:val="none"/>
        </w:rPr>
        <w:t>四、绩效自评结果拟应用和公开情况</w:t>
      </w:r>
      <w:bookmarkEnd w:id="35"/>
      <w:bookmarkEnd w:id="36"/>
    </w:p>
    <w:p>
      <w:pPr>
        <w:spacing w:line="600" w:lineRule="exact"/>
        <w:ind w:firstLine="640" w:firstLineChars="200"/>
        <w:rPr>
          <w:rFonts w:ascii="仿宋_GB2312" w:hAnsi="仿宋_GB2312" w:eastAsia="仿宋_GB2312" w:cs="仿宋_GB2312"/>
          <w:bCs/>
          <w:sz w:val="32"/>
          <w:szCs w:val="32"/>
          <w:highlight w:val="none"/>
        </w:rPr>
      </w:pPr>
      <w:bookmarkStart w:id="37" w:name="_Toc68033656"/>
      <w:r>
        <w:rPr>
          <w:rFonts w:hint="eastAsia" w:ascii="仿宋_GB2312" w:hAnsi="仿宋_GB2312" w:eastAsia="仿宋_GB2312" w:cs="仿宋_GB2312"/>
          <w:bCs/>
          <w:sz w:val="32"/>
          <w:szCs w:val="32"/>
          <w:highlight w:val="none"/>
        </w:rPr>
        <w:t>市农业农村委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bookmarkEnd w:id="17"/>
    </w:p>
    <w:p>
      <w:pPr>
        <w:spacing w:line="600" w:lineRule="exact"/>
        <w:ind w:firstLine="642" w:firstLineChars="200"/>
        <w:outlineLvl w:val="0"/>
        <w:rPr>
          <w:rFonts w:eastAsia="黑体"/>
          <w:b/>
          <w:bCs/>
          <w:sz w:val="32"/>
          <w:szCs w:val="32"/>
          <w:highlight w:val="none"/>
        </w:rPr>
      </w:pPr>
      <w:bookmarkStart w:id="38" w:name="_Toc133306695"/>
      <w:r>
        <w:rPr>
          <w:rFonts w:eastAsia="黑体"/>
          <w:b/>
          <w:bCs/>
          <w:sz w:val="32"/>
          <w:szCs w:val="32"/>
          <w:highlight w:val="none"/>
        </w:rPr>
        <w:t>五、其他需要说明的问题</w:t>
      </w:r>
      <w:bookmarkEnd w:id="37"/>
      <w:bookmarkEnd w:id="38"/>
    </w:p>
    <w:p>
      <w:pPr>
        <w:spacing w:line="600" w:lineRule="exact"/>
        <w:ind w:firstLine="640" w:firstLineChars="200"/>
        <w:rPr>
          <w:rFonts w:hint="eastAsia" w:eastAsia="仿宋_GB2312"/>
          <w:bCs/>
          <w:sz w:val="32"/>
          <w:szCs w:val="32"/>
          <w:highlight w:val="none"/>
        </w:rPr>
      </w:pPr>
      <w:r>
        <w:rPr>
          <w:rFonts w:hint="eastAsia" w:eastAsia="仿宋_GB2312"/>
          <w:bCs/>
          <w:sz w:val="32"/>
          <w:szCs w:val="32"/>
          <w:highlight w:val="none"/>
        </w:rPr>
        <w:t>农作物秸秆综合利用项目为先建后补类项目，中央财政资金需在项目验收后才下拨，前期产生的费用由各相关单位垫付，截至绩效自评日已累计垫付中央资金308.1万元，其中2023年垫付中央资金214.8万元，2024年垫付中央资金93.3万元。</w:t>
      </w:r>
    </w:p>
    <w:p>
      <w:pPr>
        <w:spacing w:line="600" w:lineRule="exact"/>
        <w:ind w:firstLine="642" w:firstLineChars="200"/>
        <w:outlineLvl w:val="0"/>
        <w:rPr>
          <w:rFonts w:eastAsia="黑体"/>
          <w:b/>
          <w:bCs/>
          <w:sz w:val="32"/>
          <w:szCs w:val="32"/>
          <w:highlight w:val="none"/>
        </w:rPr>
      </w:pPr>
      <w:bookmarkStart w:id="39" w:name="_Toc133306696"/>
      <w:r>
        <w:rPr>
          <w:rFonts w:eastAsia="黑体"/>
          <w:b/>
          <w:bCs/>
          <w:sz w:val="32"/>
          <w:szCs w:val="32"/>
          <w:highlight w:val="none"/>
        </w:rPr>
        <w:t>六、附件</w:t>
      </w:r>
      <w:bookmarkEnd w:id="39"/>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附件1：转移支付区域（项目）绩效自评表</w:t>
      </w:r>
    </w:p>
    <w:p>
      <w:pPr>
        <w:spacing w:line="600" w:lineRule="exact"/>
        <w:ind w:firstLine="560" w:firstLineChars="200"/>
        <w:rPr>
          <w:rFonts w:eastAsia="仿宋_GB2312"/>
          <w:bCs/>
          <w:sz w:val="28"/>
          <w:szCs w:val="28"/>
          <w:highlight w:val="none"/>
        </w:rPr>
      </w:pPr>
    </w:p>
    <w:p>
      <w:pPr>
        <w:spacing w:line="600" w:lineRule="exact"/>
        <w:ind w:firstLine="560" w:firstLineChars="200"/>
        <w:rPr>
          <w:rFonts w:eastAsia="仿宋_GB2312"/>
          <w:bCs/>
          <w:sz w:val="28"/>
          <w:szCs w:val="28"/>
          <w:highlight w:val="none"/>
        </w:rPr>
        <w:sectPr>
          <w:footerReference r:id="rId3" w:type="default"/>
          <w:pgSz w:w="11906" w:h="16838"/>
          <w:pgMar w:top="1440" w:right="1440" w:bottom="1440" w:left="1440" w:header="851" w:footer="992" w:gutter="0"/>
          <w:cols w:space="425" w:num="1"/>
          <w:docGrid w:type="lines" w:linePitch="312" w:charSpace="0"/>
        </w:sectPr>
      </w:pPr>
    </w:p>
    <w:tbl>
      <w:tblPr>
        <w:tblStyle w:val="13"/>
        <w:tblW w:w="13958" w:type="dxa"/>
        <w:jc w:val="center"/>
        <w:tblLayout w:type="fixed"/>
        <w:tblCellMar>
          <w:top w:w="15" w:type="dxa"/>
          <w:left w:w="108" w:type="dxa"/>
          <w:bottom w:w="0" w:type="dxa"/>
          <w:right w:w="108" w:type="dxa"/>
        </w:tblCellMar>
      </w:tblPr>
      <w:tblGrid>
        <w:gridCol w:w="936"/>
        <w:gridCol w:w="1268"/>
        <w:gridCol w:w="106"/>
        <w:gridCol w:w="1817"/>
        <w:gridCol w:w="128"/>
        <w:gridCol w:w="1798"/>
        <w:gridCol w:w="1870"/>
        <w:gridCol w:w="321"/>
        <w:gridCol w:w="1343"/>
        <w:gridCol w:w="343"/>
        <w:gridCol w:w="1552"/>
        <w:gridCol w:w="2476"/>
      </w:tblGrid>
      <w:tr>
        <w:tblPrEx>
          <w:tblCellMar>
            <w:top w:w="15" w:type="dxa"/>
            <w:left w:w="108" w:type="dxa"/>
            <w:bottom w:w="0" w:type="dxa"/>
            <w:right w:w="108" w:type="dxa"/>
          </w:tblCellMar>
        </w:tblPrEx>
        <w:trPr>
          <w:trHeight w:val="360" w:hRule="atLeast"/>
          <w:jc w:val="center"/>
        </w:trPr>
        <w:tc>
          <w:tcPr>
            <w:tcW w:w="13958" w:type="dxa"/>
            <w:gridSpan w:val="12"/>
            <w:tcBorders>
              <w:top w:val="nil"/>
              <w:left w:val="nil"/>
              <w:bottom w:val="nil"/>
              <w:right w:val="nil"/>
            </w:tcBorders>
            <w:shd w:val="clear" w:color="auto" w:fill="auto"/>
            <w:vAlign w:val="center"/>
          </w:tcPr>
          <w:p>
            <w:pPr>
              <w:widowControl/>
              <w:jc w:val="center"/>
              <w:rPr>
                <w:rFonts w:ascii="仿宋_GB2312" w:hAnsi="仿宋_GB2312" w:eastAsia="仿宋_GB2312" w:cs="仿宋_GB2312"/>
                <w:color w:val="000000"/>
                <w:kern w:val="0"/>
                <w:szCs w:val="21"/>
                <w:highlight w:val="none"/>
              </w:rPr>
            </w:pPr>
            <w:r>
              <w:rPr>
                <w:rFonts w:hint="eastAsia" w:ascii="仿宋_GB2312" w:hAnsi="仿宋_GB2312" w:eastAsia="仿宋_GB2312" w:cs="仿宋_GB2312"/>
                <w:b/>
                <w:bCs/>
                <w:sz w:val="32"/>
                <w:szCs w:val="32"/>
                <w:highlight w:val="none"/>
              </w:rPr>
              <w:t>农业生态资源保护资金转移支付区域（项目）绩效自评表</w:t>
            </w:r>
          </w:p>
        </w:tc>
      </w:tr>
      <w:tr>
        <w:tblPrEx>
          <w:tblCellMar>
            <w:top w:w="15" w:type="dxa"/>
            <w:left w:w="108" w:type="dxa"/>
            <w:bottom w:w="0" w:type="dxa"/>
            <w:right w:w="108" w:type="dxa"/>
          </w:tblCellMar>
        </w:tblPrEx>
        <w:trPr>
          <w:trHeight w:val="319" w:hRule="atLeast"/>
          <w:jc w:val="center"/>
        </w:trPr>
        <w:tc>
          <w:tcPr>
            <w:tcW w:w="13958" w:type="dxa"/>
            <w:gridSpan w:val="12"/>
            <w:tcBorders>
              <w:top w:val="nil"/>
              <w:left w:val="nil"/>
              <w:bottom w:val="single" w:color="auto" w:sz="4" w:space="0"/>
              <w:right w:val="nil"/>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（2023年度）</w:t>
            </w:r>
          </w:p>
        </w:tc>
      </w:tr>
      <w:tr>
        <w:tblPrEx>
          <w:tblCellMar>
            <w:top w:w="15" w:type="dxa"/>
            <w:left w:w="108" w:type="dxa"/>
            <w:bottom w:w="0" w:type="dxa"/>
            <w:right w:w="108" w:type="dxa"/>
          </w:tblCellMar>
        </w:tblPrEx>
        <w:trPr>
          <w:trHeight w:val="300" w:hRule="atLeast"/>
          <w:jc w:val="center"/>
        </w:trPr>
        <w:tc>
          <w:tcPr>
            <w:tcW w:w="23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转移支付（项目）名称</w:t>
            </w:r>
          </w:p>
        </w:tc>
        <w:tc>
          <w:tcPr>
            <w:tcW w:w="11648"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农业生态资源保护资金　</w:t>
            </w:r>
          </w:p>
        </w:tc>
      </w:tr>
      <w:tr>
        <w:tblPrEx>
          <w:tblCellMar>
            <w:top w:w="15" w:type="dxa"/>
            <w:left w:w="108" w:type="dxa"/>
            <w:bottom w:w="0" w:type="dxa"/>
            <w:right w:w="108" w:type="dxa"/>
          </w:tblCellMar>
        </w:tblPrEx>
        <w:trPr>
          <w:trHeight w:val="300" w:hRule="atLeast"/>
          <w:jc w:val="center"/>
        </w:trPr>
        <w:tc>
          <w:tcPr>
            <w:tcW w:w="23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中央主管部门</w:t>
            </w:r>
          </w:p>
        </w:tc>
        <w:tc>
          <w:tcPr>
            <w:tcW w:w="11648"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财政部、农业农村部</w:t>
            </w:r>
          </w:p>
        </w:tc>
      </w:tr>
      <w:tr>
        <w:tblPrEx>
          <w:tblCellMar>
            <w:top w:w="15" w:type="dxa"/>
            <w:left w:w="108" w:type="dxa"/>
            <w:bottom w:w="0" w:type="dxa"/>
            <w:right w:w="108" w:type="dxa"/>
          </w:tblCellMar>
        </w:tblPrEx>
        <w:trPr>
          <w:trHeight w:val="977" w:hRule="atLeast"/>
          <w:jc w:val="center"/>
        </w:trPr>
        <w:tc>
          <w:tcPr>
            <w:tcW w:w="23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地方主管部门</w:t>
            </w:r>
          </w:p>
        </w:tc>
        <w:tc>
          <w:tcPr>
            <w:tcW w:w="37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上海市农业农村委员会</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资金使用单位</w:t>
            </w:r>
          </w:p>
        </w:tc>
        <w:tc>
          <w:tcPr>
            <w:tcW w:w="60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上海桑磊蔬果种植专业合作社、上海浦东环保发展有限公司、上海范顺食用菌专业合作社、上海乔稼农产品专业合作社、上海市农业农村委员会执法总队、上海市水生野生动植物保护研究中心</w:t>
            </w:r>
          </w:p>
        </w:tc>
      </w:tr>
      <w:tr>
        <w:tblPrEx>
          <w:tblCellMar>
            <w:top w:w="15" w:type="dxa"/>
            <w:left w:w="108" w:type="dxa"/>
            <w:bottom w:w="0" w:type="dxa"/>
            <w:right w:w="108" w:type="dxa"/>
          </w:tblCellMar>
        </w:tblPrEx>
        <w:trPr>
          <w:trHeight w:val="300" w:hRule="atLeast"/>
          <w:jc w:val="center"/>
        </w:trPr>
        <w:tc>
          <w:tcPr>
            <w:tcW w:w="23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资金投入情况</w:t>
            </w:r>
            <w:r>
              <w:rPr>
                <w:rFonts w:hint="eastAsia" w:ascii="仿宋_GB2312" w:hAnsi="仿宋_GB2312" w:eastAsia="仿宋_GB2312" w:cs="仿宋_GB2312"/>
                <w:kern w:val="0"/>
                <w:sz w:val="24"/>
                <w:szCs w:val="24"/>
                <w:highlight w:val="none"/>
              </w:rPr>
              <w:br w:type="textWrapping"/>
            </w:r>
            <w:r>
              <w:rPr>
                <w:rFonts w:hint="eastAsia" w:ascii="仿宋_GB2312" w:hAnsi="仿宋_GB2312" w:eastAsia="仿宋_GB2312" w:cs="仿宋_GB2312"/>
                <w:kern w:val="0"/>
                <w:sz w:val="24"/>
                <w:szCs w:val="24"/>
                <w:highlight w:val="none"/>
              </w:rPr>
              <w:t>（万元）</w:t>
            </w:r>
          </w:p>
        </w:tc>
        <w:tc>
          <w:tcPr>
            <w:tcW w:w="1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全年预算数（A）</w:t>
            </w:r>
          </w:p>
        </w:tc>
        <w:tc>
          <w:tcPr>
            <w:tcW w:w="38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全年执行数（B)</w:t>
            </w:r>
          </w:p>
        </w:tc>
        <w:tc>
          <w:tcPr>
            <w:tcW w:w="40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预算执行率</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(B/A×100%)</w:t>
            </w:r>
          </w:p>
        </w:tc>
      </w:tr>
      <w:tr>
        <w:tblPrEx>
          <w:tblCellMar>
            <w:top w:w="15" w:type="dxa"/>
            <w:left w:w="108" w:type="dxa"/>
            <w:bottom w:w="0" w:type="dxa"/>
            <w:right w:w="108" w:type="dxa"/>
          </w:tblCellMar>
        </w:tblPrEx>
        <w:trPr>
          <w:trHeight w:val="300"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年度资金总额：</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937.5</w:t>
            </w:r>
          </w:p>
        </w:tc>
        <w:tc>
          <w:tcPr>
            <w:tcW w:w="38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562.2</w:t>
            </w:r>
          </w:p>
        </w:tc>
        <w:tc>
          <w:tcPr>
            <w:tcW w:w="40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59.97%</w:t>
            </w:r>
          </w:p>
        </w:tc>
      </w:tr>
      <w:tr>
        <w:tblPrEx>
          <w:tblCellMar>
            <w:top w:w="15" w:type="dxa"/>
            <w:left w:w="108" w:type="dxa"/>
            <w:bottom w:w="0" w:type="dxa"/>
            <w:right w:w="108" w:type="dxa"/>
          </w:tblCellMar>
        </w:tblPrEx>
        <w:trPr>
          <w:trHeight w:val="300"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其中：中央财政资金</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840</w:t>
            </w:r>
          </w:p>
        </w:tc>
        <w:tc>
          <w:tcPr>
            <w:tcW w:w="38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521</w:t>
            </w:r>
          </w:p>
        </w:tc>
        <w:tc>
          <w:tcPr>
            <w:tcW w:w="40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62.02%</w:t>
            </w:r>
          </w:p>
        </w:tc>
      </w:tr>
      <w:tr>
        <w:tblPrEx>
          <w:tblCellMar>
            <w:top w:w="15" w:type="dxa"/>
            <w:left w:w="108" w:type="dxa"/>
            <w:bottom w:w="0" w:type="dxa"/>
            <w:right w:w="108" w:type="dxa"/>
          </w:tblCellMar>
        </w:tblPrEx>
        <w:trPr>
          <w:trHeight w:val="300"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地方资金</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38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0</w:t>
            </w:r>
          </w:p>
        </w:tc>
        <w:tc>
          <w:tcPr>
            <w:tcW w:w="40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08" w:type="dxa"/>
            <w:bottom w:w="0" w:type="dxa"/>
            <w:right w:w="108" w:type="dxa"/>
          </w:tblCellMar>
        </w:tblPrEx>
        <w:trPr>
          <w:trHeight w:val="300"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      其他资金</w:t>
            </w:r>
          </w:p>
        </w:tc>
        <w:tc>
          <w:tcPr>
            <w:tcW w:w="17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97.5</w:t>
            </w:r>
          </w:p>
        </w:tc>
        <w:tc>
          <w:tcPr>
            <w:tcW w:w="387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41.2</w:t>
            </w:r>
          </w:p>
        </w:tc>
        <w:tc>
          <w:tcPr>
            <w:tcW w:w="40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42.26%</w:t>
            </w:r>
          </w:p>
        </w:tc>
      </w:tr>
      <w:tr>
        <w:tblPrEx>
          <w:tblCellMar>
            <w:top w:w="15" w:type="dxa"/>
            <w:left w:w="108" w:type="dxa"/>
            <w:bottom w:w="0" w:type="dxa"/>
            <w:right w:w="108" w:type="dxa"/>
          </w:tblCellMar>
        </w:tblPrEx>
        <w:trPr>
          <w:trHeight w:val="300" w:hRule="atLeast"/>
          <w:jc w:val="center"/>
        </w:trPr>
        <w:tc>
          <w:tcPr>
            <w:tcW w:w="23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情况说明</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存在问题和改进措施</w:t>
            </w:r>
          </w:p>
        </w:tc>
      </w:tr>
      <w:tr>
        <w:tblPrEx>
          <w:tblCellMar>
            <w:top w:w="15" w:type="dxa"/>
            <w:left w:w="108" w:type="dxa"/>
            <w:bottom w:w="0" w:type="dxa"/>
            <w:right w:w="108" w:type="dxa"/>
          </w:tblCellMar>
        </w:tblPrEx>
        <w:trPr>
          <w:trHeight w:val="818"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分配科学性</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市农业农村委制定《农业生态资源保护资金项目实施方案》，在收到市农业农村委下达预算后，同步制定相应的实施方案，明确实施条件、支持对象、实施要求和监管措施等内容，方案编制完整、合规。2023年农业生态资源保护资金项目严格按照市农业农村委部门转移支付管理制度以及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676"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下达及时性</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收到中央预算文件后，市农业农村委及时发布《关于下达2023年农业生态资源保护水生生物增殖放流项目工作任务的通知》（沪农委〔2023〕124号）、《农业生态资源保护资金项目实施方案》下达资金，资金下达及时。</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388"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拨付合规性</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市农业农村委按要求将中央财政转移支付政策和实施方案在市农业农村委员会官网进行公示。市农业农村委严格按照国库集中支付制度有关规定支付资金，资金拨付符合国库集中支付制度等有关规定。</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1961" w:hRule="atLeast"/>
          <w:jc w:val="center"/>
        </w:trPr>
        <w:tc>
          <w:tcPr>
            <w:tcW w:w="231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资金管理情况</w:t>
            </w: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使用规范性</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严格按照部门转移支付管理支付规定以及资金管理办法规定要求执行，以规范各项经费的开支。资金使用规范符合国家财经法规和财务管理以及有关专项资金管理办法的规定，确保项目资金的专款专用；资金拨付有完整的审批程序和手续，不存在截留、挤占、挪用、虚列支出等情况，保障会计核算准确、财务资料完整</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377"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执行准确性</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2023年本项目严格按照上级下达和本级预算安排的金额执行，不存在执行数偏离预算数较多的问题，预算偏差率为0%。2023年农业生态资源保护资金支出明细填报规范、准确，自评数据真实、准确，未发现与平台数据不一致等情况。</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660"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预算绩效管理情况</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在细化下达预算时同步下达绩效目标，根据农业生态资源保护资金实施方案中明确的绩效目标，将中央下达的预算指标分解至各子项目，绩效目标合理。市农业农村委将有关资金纳入本级预算或对下转移支付绩效管理，开展绩效评价，将绩效评价结果作为区县或项目单位资金分配的重要依据。</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706" w:hRule="atLeast"/>
          <w:jc w:val="center"/>
        </w:trPr>
        <w:tc>
          <w:tcPr>
            <w:tcW w:w="231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p>
        </w:tc>
        <w:tc>
          <w:tcPr>
            <w:tcW w:w="19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支出责任履职情况</w:t>
            </w:r>
          </w:p>
        </w:tc>
        <w:tc>
          <w:tcPr>
            <w:tcW w:w="56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市农业农村委严格按照《农业生态资源保护资金管理办法》及《农业相关转移支付资金绩效管理办法》（财农〔2019〕48号）等相关管理制度实施项目资金管理和绩效管理。市农业农村委积极争取地方财政支持，利用自筹资金97.5万元，主要用于农作物秸秆综合利用项目。</w:t>
            </w:r>
          </w:p>
        </w:tc>
        <w:tc>
          <w:tcPr>
            <w:tcW w:w="4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582" w:hRule="atLeast"/>
          <w:jc w:val="center"/>
        </w:trPr>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目标</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完成</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情况</w:t>
            </w:r>
          </w:p>
        </w:tc>
        <w:tc>
          <w:tcPr>
            <w:tcW w:w="511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总体目标</w:t>
            </w:r>
          </w:p>
        </w:tc>
        <w:tc>
          <w:tcPr>
            <w:tcW w:w="790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全年实际完成情况</w:t>
            </w:r>
          </w:p>
        </w:tc>
      </w:tr>
      <w:tr>
        <w:tblPrEx>
          <w:tblCellMar>
            <w:top w:w="15" w:type="dxa"/>
            <w:left w:w="108" w:type="dxa"/>
            <w:bottom w:w="0" w:type="dxa"/>
            <w:right w:w="108" w:type="dxa"/>
          </w:tblCellMar>
        </w:tblPrEx>
        <w:trPr>
          <w:trHeight w:val="3194"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5117" w:type="dxa"/>
            <w:gridSpan w:val="5"/>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按照相关实施方案，结合地方实际开展农业生态资源保护。</w:t>
            </w:r>
          </w:p>
        </w:tc>
        <w:tc>
          <w:tcPr>
            <w:tcW w:w="7905" w:type="dxa"/>
            <w:gridSpan w:val="6"/>
            <w:tcBorders>
              <w:top w:val="single" w:color="auto" w:sz="4" w:space="0"/>
              <w:left w:val="nil"/>
              <w:bottom w:val="single" w:color="auto" w:sz="4" w:space="0"/>
              <w:right w:val="single" w:color="auto" w:sz="4" w:space="0"/>
            </w:tcBorders>
            <w:shd w:val="clear" w:color="auto" w:fill="auto"/>
            <w:vAlign w:val="center"/>
          </w:tcPr>
          <w:p>
            <w:pPr>
              <w:widowControl/>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农作物秸秆综合利用方面，2023年浦东新区二麦种植面积3.91万亩，基本全量还田；水稻种植面积17.06万亩，秸秆还田面积约12.25万亩，离田利用4.7万亩左右、约2.8万吨（基料化利用1.65万吨、饲料化利用0.55万吨、燃料化利用0.6万吨），秸秆综合利用率达99%以上。项目实施期间，实施单位完成秸秆离田利用1.97万吨左右，燃料化利用0.6万吨、饲料化利用0.43万吨、基料化利用0.94吨，占全区离田利用总量70%。</w:t>
            </w:r>
          </w:p>
          <w:p>
            <w:pPr>
              <w:widowControl/>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渔业增殖放流方面，2023年渔业增殖放流各项工作基本完成，2023年全市共执行中央资金水生生物苗种总计4958.753万尾，其中淡水经济物种4889万尾，海水经济物种63.85万尾，濒危珍稀物种5.903万尾，取得预期目标，政策落实有效。</w:t>
            </w:r>
          </w:p>
        </w:tc>
      </w:tr>
      <w:tr>
        <w:tblPrEx>
          <w:tblCellMar>
            <w:top w:w="15" w:type="dxa"/>
            <w:left w:w="108" w:type="dxa"/>
            <w:bottom w:w="0" w:type="dxa"/>
            <w:right w:w="108" w:type="dxa"/>
          </w:tblCellMar>
        </w:tblPrEx>
        <w:trPr>
          <w:trHeight w:val="459" w:hRule="atLeast"/>
          <w:jc w:val="center"/>
        </w:trPr>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绩效</w:t>
            </w:r>
          </w:p>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w:t>
            </w:r>
          </w:p>
        </w:tc>
        <w:tc>
          <w:tcPr>
            <w:tcW w:w="1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一级指标</w:t>
            </w:r>
          </w:p>
        </w:tc>
        <w:tc>
          <w:tcPr>
            <w:tcW w:w="192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二级指标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三级指标</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指标值</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全年实际完成值</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未完成原因和改进措施</w:t>
            </w:r>
          </w:p>
        </w:tc>
      </w:tr>
      <w:tr>
        <w:tblPrEx>
          <w:tblCellMar>
            <w:top w:w="15" w:type="dxa"/>
            <w:left w:w="108" w:type="dxa"/>
            <w:bottom w:w="0" w:type="dxa"/>
            <w:right w:w="108" w:type="dxa"/>
          </w:tblCellMar>
        </w:tblPrEx>
        <w:trPr>
          <w:trHeight w:val="36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产出指标</w:t>
            </w:r>
          </w:p>
        </w:tc>
        <w:tc>
          <w:tcPr>
            <w:tcW w:w="192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数量指标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建设秸秆综合利用重点县数量（个）</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97"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highlight w:val="none"/>
              </w:rPr>
            </w:pP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渔业增殖放流规模（万单位）</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4900</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4958.753</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79"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2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质量指标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秸秆综合利用重点县秸秆综合利用率</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≥90%</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99%</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8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效益指标</w:t>
            </w: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社会效益指标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以县为单位建设秸秆资源台账</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建立</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建立</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40"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社会效益指标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资金使用重大违规违纪问题</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52"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生态效益指标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重要经济物种放流资源贡献率</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366" w:hRule="atLeast"/>
          <w:jc w:val="center"/>
        </w:trPr>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满意度指标</w:t>
            </w: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服务对象满意度指标</w:t>
            </w:r>
          </w:p>
        </w:tc>
        <w:tc>
          <w:tcPr>
            <w:tcW w:w="4117"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增殖放流区域内抽样调查满意度</w:t>
            </w:r>
          </w:p>
        </w:tc>
        <w:tc>
          <w:tcPr>
            <w:tcW w:w="13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≥80%</w:t>
            </w:r>
          </w:p>
        </w:tc>
        <w:tc>
          <w:tcPr>
            <w:tcW w:w="18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≥80%</w:t>
            </w:r>
          </w:p>
        </w:tc>
        <w:tc>
          <w:tcPr>
            <w:tcW w:w="24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r>
        <w:tblPrEx>
          <w:tblCellMar>
            <w:top w:w="15" w:type="dxa"/>
            <w:left w:w="108" w:type="dxa"/>
            <w:bottom w:w="0" w:type="dxa"/>
            <w:right w:w="108" w:type="dxa"/>
          </w:tblCellMar>
        </w:tblPrEx>
        <w:trPr>
          <w:trHeight w:val="295"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说明</w:t>
            </w:r>
          </w:p>
        </w:tc>
        <w:tc>
          <w:tcPr>
            <w:tcW w:w="13022"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无</w:t>
            </w:r>
          </w:p>
        </w:tc>
      </w:tr>
    </w:tbl>
    <w:p>
      <w:pPr>
        <w:rPr>
          <w:highlight w:val="none"/>
        </w:rPr>
      </w:pPr>
    </w:p>
    <w:sectPr>
      <w:footerReference r:id="rId4"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43049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347842"/>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31AAF"/>
    <w:multiLevelType w:val="multilevel"/>
    <w:tmpl w:val="5AD31AAF"/>
    <w:lvl w:ilvl="0" w:tentative="0">
      <w:start w:val="1"/>
      <w:numFmt w:val="chineseCountingThousand"/>
      <w:pStyle w:val="9"/>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MWMwNzM4Y2I4OTUxZDRmMmJjMWM5MjdiOTBiNmMifQ=="/>
  </w:docVars>
  <w:rsids>
    <w:rsidRoot w:val="000D4088"/>
    <w:rsid w:val="0000118F"/>
    <w:rsid w:val="00003D80"/>
    <w:rsid w:val="00025500"/>
    <w:rsid w:val="00027EBD"/>
    <w:rsid w:val="00034BFF"/>
    <w:rsid w:val="00045B06"/>
    <w:rsid w:val="0005133F"/>
    <w:rsid w:val="000514D8"/>
    <w:rsid w:val="00057196"/>
    <w:rsid w:val="00057209"/>
    <w:rsid w:val="00060198"/>
    <w:rsid w:val="000650B8"/>
    <w:rsid w:val="00065317"/>
    <w:rsid w:val="00065624"/>
    <w:rsid w:val="0008533B"/>
    <w:rsid w:val="00087BAB"/>
    <w:rsid w:val="0009088F"/>
    <w:rsid w:val="0009564F"/>
    <w:rsid w:val="000A4561"/>
    <w:rsid w:val="000B5952"/>
    <w:rsid w:val="000D4088"/>
    <w:rsid w:val="000E0314"/>
    <w:rsid w:val="000E037B"/>
    <w:rsid w:val="000E051B"/>
    <w:rsid w:val="000E6B5E"/>
    <w:rsid w:val="000F1036"/>
    <w:rsid w:val="001050B1"/>
    <w:rsid w:val="00105401"/>
    <w:rsid w:val="001279E1"/>
    <w:rsid w:val="00147C9F"/>
    <w:rsid w:val="00154004"/>
    <w:rsid w:val="0016574F"/>
    <w:rsid w:val="00167419"/>
    <w:rsid w:val="0017529A"/>
    <w:rsid w:val="0017656F"/>
    <w:rsid w:val="0017736F"/>
    <w:rsid w:val="00183913"/>
    <w:rsid w:val="00184275"/>
    <w:rsid w:val="00191FB3"/>
    <w:rsid w:val="00192B63"/>
    <w:rsid w:val="00197EDD"/>
    <w:rsid w:val="001A05BC"/>
    <w:rsid w:val="001A16E1"/>
    <w:rsid w:val="001A1902"/>
    <w:rsid w:val="001A41E4"/>
    <w:rsid w:val="001A4DDA"/>
    <w:rsid w:val="001B6BBB"/>
    <w:rsid w:val="001B70EE"/>
    <w:rsid w:val="001C0B0B"/>
    <w:rsid w:val="001C2F33"/>
    <w:rsid w:val="001C35A5"/>
    <w:rsid w:val="001D0705"/>
    <w:rsid w:val="001E1201"/>
    <w:rsid w:val="001E33A3"/>
    <w:rsid w:val="001E650C"/>
    <w:rsid w:val="001F25CB"/>
    <w:rsid w:val="001F67E3"/>
    <w:rsid w:val="0020511E"/>
    <w:rsid w:val="00212668"/>
    <w:rsid w:val="002171B5"/>
    <w:rsid w:val="00222697"/>
    <w:rsid w:val="00222D9A"/>
    <w:rsid w:val="00225D68"/>
    <w:rsid w:val="00230281"/>
    <w:rsid w:val="00231D20"/>
    <w:rsid w:val="00245A9B"/>
    <w:rsid w:val="00245D1A"/>
    <w:rsid w:val="00250DD2"/>
    <w:rsid w:val="00254862"/>
    <w:rsid w:val="00256762"/>
    <w:rsid w:val="00262273"/>
    <w:rsid w:val="00267881"/>
    <w:rsid w:val="00274777"/>
    <w:rsid w:val="00276D6D"/>
    <w:rsid w:val="0028062D"/>
    <w:rsid w:val="0029364B"/>
    <w:rsid w:val="00296574"/>
    <w:rsid w:val="002A2390"/>
    <w:rsid w:val="002A4BBF"/>
    <w:rsid w:val="002B1016"/>
    <w:rsid w:val="002B4DB7"/>
    <w:rsid w:val="002B7EFA"/>
    <w:rsid w:val="002C52A2"/>
    <w:rsid w:val="002D2211"/>
    <w:rsid w:val="002D37E1"/>
    <w:rsid w:val="002E442B"/>
    <w:rsid w:val="002F1F44"/>
    <w:rsid w:val="002F27F0"/>
    <w:rsid w:val="002F7303"/>
    <w:rsid w:val="0030497E"/>
    <w:rsid w:val="00307778"/>
    <w:rsid w:val="003112AE"/>
    <w:rsid w:val="0031348D"/>
    <w:rsid w:val="00313C6D"/>
    <w:rsid w:val="003202E4"/>
    <w:rsid w:val="0032281B"/>
    <w:rsid w:val="003322C4"/>
    <w:rsid w:val="00335F96"/>
    <w:rsid w:val="00340E87"/>
    <w:rsid w:val="00352FD4"/>
    <w:rsid w:val="00353448"/>
    <w:rsid w:val="00361CF3"/>
    <w:rsid w:val="00363083"/>
    <w:rsid w:val="003644B3"/>
    <w:rsid w:val="0036616F"/>
    <w:rsid w:val="00374D3F"/>
    <w:rsid w:val="00376A43"/>
    <w:rsid w:val="003823CD"/>
    <w:rsid w:val="003825CB"/>
    <w:rsid w:val="003826D6"/>
    <w:rsid w:val="00383CF4"/>
    <w:rsid w:val="00385374"/>
    <w:rsid w:val="003909CB"/>
    <w:rsid w:val="003921F4"/>
    <w:rsid w:val="0039766E"/>
    <w:rsid w:val="003A6679"/>
    <w:rsid w:val="003B7654"/>
    <w:rsid w:val="003C009F"/>
    <w:rsid w:val="003C0865"/>
    <w:rsid w:val="003C6037"/>
    <w:rsid w:val="003E5CC4"/>
    <w:rsid w:val="003E7E6A"/>
    <w:rsid w:val="003F30FD"/>
    <w:rsid w:val="003F40AD"/>
    <w:rsid w:val="003F7166"/>
    <w:rsid w:val="00400190"/>
    <w:rsid w:val="0040742E"/>
    <w:rsid w:val="00421E18"/>
    <w:rsid w:val="0042478D"/>
    <w:rsid w:val="00425453"/>
    <w:rsid w:val="00441AF9"/>
    <w:rsid w:val="00446B6B"/>
    <w:rsid w:val="0045045E"/>
    <w:rsid w:val="00454B8E"/>
    <w:rsid w:val="00456B48"/>
    <w:rsid w:val="00460F52"/>
    <w:rsid w:val="004665CF"/>
    <w:rsid w:val="004816FF"/>
    <w:rsid w:val="00492762"/>
    <w:rsid w:val="00496E41"/>
    <w:rsid w:val="00497788"/>
    <w:rsid w:val="004B4548"/>
    <w:rsid w:val="004B7D93"/>
    <w:rsid w:val="004C163D"/>
    <w:rsid w:val="004D5D09"/>
    <w:rsid w:val="004F3F5D"/>
    <w:rsid w:val="004F796F"/>
    <w:rsid w:val="00500E08"/>
    <w:rsid w:val="0050111D"/>
    <w:rsid w:val="0050148C"/>
    <w:rsid w:val="00514805"/>
    <w:rsid w:val="00520FD5"/>
    <w:rsid w:val="00530996"/>
    <w:rsid w:val="00532472"/>
    <w:rsid w:val="00534E80"/>
    <w:rsid w:val="0053647A"/>
    <w:rsid w:val="00542C13"/>
    <w:rsid w:val="005450A1"/>
    <w:rsid w:val="00550DD7"/>
    <w:rsid w:val="00554074"/>
    <w:rsid w:val="005543B1"/>
    <w:rsid w:val="005557BD"/>
    <w:rsid w:val="00562400"/>
    <w:rsid w:val="00563F00"/>
    <w:rsid w:val="00570626"/>
    <w:rsid w:val="00570817"/>
    <w:rsid w:val="0059210E"/>
    <w:rsid w:val="00592427"/>
    <w:rsid w:val="0059745D"/>
    <w:rsid w:val="005A162C"/>
    <w:rsid w:val="005A5202"/>
    <w:rsid w:val="005A55B0"/>
    <w:rsid w:val="005B70CA"/>
    <w:rsid w:val="005C525E"/>
    <w:rsid w:val="005C765B"/>
    <w:rsid w:val="005D3CAD"/>
    <w:rsid w:val="005E1C01"/>
    <w:rsid w:val="005E6B7B"/>
    <w:rsid w:val="0060333A"/>
    <w:rsid w:val="00607D6A"/>
    <w:rsid w:val="00614733"/>
    <w:rsid w:val="0063010F"/>
    <w:rsid w:val="00652261"/>
    <w:rsid w:val="006533AA"/>
    <w:rsid w:val="0065479B"/>
    <w:rsid w:val="00661A50"/>
    <w:rsid w:val="00670EC3"/>
    <w:rsid w:val="00674171"/>
    <w:rsid w:val="0068683C"/>
    <w:rsid w:val="00692439"/>
    <w:rsid w:val="006931F1"/>
    <w:rsid w:val="006A2431"/>
    <w:rsid w:val="006A2E84"/>
    <w:rsid w:val="006A6E9A"/>
    <w:rsid w:val="006C2864"/>
    <w:rsid w:val="006C5A5E"/>
    <w:rsid w:val="006D3C58"/>
    <w:rsid w:val="006E2EC7"/>
    <w:rsid w:val="00701CDB"/>
    <w:rsid w:val="0070205E"/>
    <w:rsid w:val="0070354A"/>
    <w:rsid w:val="00703860"/>
    <w:rsid w:val="007041F0"/>
    <w:rsid w:val="007112F4"/>
    <w:rsid w:val="0071404F"/>
    <w:rsid w:val="00732946"/>
    <w:rsid w:val="007337B3"/>
    <w:rsid w:val="00747067"/>
    <w:rsid w:val="007537E3"/>
    <w:rsid w:val="00766CEE"/>
    <w:rsid w:val="00775076"/>
    <w:rsid w:val="00783C7E"/>
    <w:rsid w:val="007960C0"/>
    <w:rsid w:val="007A72C2"/>
    <w:rsid w:val="007B0B78"/>
    <w:rsid w:val="007C1828"/>
    <w:rsid w:val="007C21CC"/>
    <w:rsid w:val="007C4031"/>
    <w:rsid w:val="007D128F"/>
    <w:rsid w:val="007D46C4"/>
    <w:rsid w:val="007D6702"/>
    <w:rsid w:val="007E3ADA"/>
    <w:rsid w:val="007F0E71"/>
    <w:rsid w:val="007F34D1"/>
    <w:rsid w:val="007F5E36"/>
    <w:rsid w:val="00811578"/>
    <w:rsid w:val="0081255E"/>
    <w:rsid w:val="00821C43"/>
    <w:rsid w:val="00823126"/>
    <w:rsid w:val="00824066"/>
    <w:rsid w:val="0083133A"/>
    <w:rsid w:val="008324A3"/>
    <w:rsid w:val="00832C55"/>
    <w:rsid w:val="00846F7A"/>
    <w:rsid w:val="0086606A"/>
    <w:rsid w:val="00870943"/>
    <w:rsid w:val="0087687B"/>
    <w:rsid w:val="0088269A"/>
    <w:rsid w:val="00885EA8"/>
    <w:rsid w:val="0088798F"/>
    <w:rsid w:val="00892764"/>
    <w:rsid w:val="0089326D"/>
    <w:rsid w:val="008A2A38"/>
    <w:rsid w:val="008C3CC3"/>
    <w:rsid w:val="008D4E17"/>
    <w:rsid w:val="008D68C3"/>
    <w:rsid w:val="008E6E7B"/>
    <w:rsid w:val="008F7F92"/>
    <w:rsid w:val="009054C1"/>
    <w:rsid w:val="00905660"/>
    <w:rsid w:val="00910329"/>
    <w:rsid w:val="00913EE7"/>
    <w:rsid w:val="00921272"/>
    <w:rsid w:val="00921D2E"/>
    <w:rsid w:val="009221E0"/>
    <w:rsid w:val="00924806"/>
    <w:rsid w:val="00945DCC"/>
    <w:rsid w:val="0094634B"/>
    <w:rsid w:val="00947D1F"/>
    <w:rsid w:val="0095342E"/>
    <w:rsid w:val="009647D3"/>
    <w:rsid w:val="009653BF"/>
    <w:rsid w:val="009720D5"/>
    <w:rsid w:val="0097541D"/>
    <w:rsid w:val="00975B50"/>
    <w:rsid w:val="00984F13"/>
    <w:rsid w:val="00994EFB"/>
    <w:rsid w:val="00996EE0"/>
    <w:rsid w:val="009A0053"/>
    <w:rsid w:val="009A1C95"/>
    <w:rsid w:val="009B5BB3"/>
    <w:rsid w:val="009B752A"/>
    <w:rsid w:val="009C0FA7"/>
    <w:rsid w:val="009C1210"/>
    <w:rsid w:val="009C2FD3"/>
    <w:rsid w:val="009C556E"/>
    <w:rsid w:val="009C6202"/>
    <w:rsid w:val="009D0813"/>
    <w:rsid w:val="009D7164"/>
    <w:rsid w:val="009D7D46"/>
    <w:rsid w:val="009E2F50"/>
    <w:rsid w:val="009F072E"/>
    <w:rsid w:val="009F256E"/>
    <w:rsid w:val="00A0427B"/>
    <w:rsid w:val="00A11589"/>
    <w:rsid w:val="00A4486B"/>
    <w:rsid w:val="00A5409D"/>
    <w:rsid w:val="00A6349E"/>
    <w:rsid w:val="00A73C5D"/>
    <w:rsid w:val="00A84673"/>
    <w:rsid w:val="00A866CB"/>
    <w:rsid w:val="00A93D14"/>
    <w:rsid w:val="00A97AA1"/>
    <w:rsid w:val="00AA3E43"/>
    <w:rsid w:val="00AB5F8E"/>
    <w:rsid w:val="00AC1717"/>
    <w:rsid w:val="00AC6EBD"/>
    <w:rsid w:val="00AE7EDB"/>
    <w:rsid w:val="00AF12B9"/>
    <w:rsid w:val="00B0065E"/>
    <w:rsid w:val="00B02774"/>
    <w:rsid w:val="00B13D5C"/>
    <w:rsid w:val="00B16F47"/>
    <w:rsid w:val="00B30A27"/>
    <w:rsid w:val="00B31776"/>
    <w:rsid w:val="00B31CC9"/>
    <w:rsid w:val="00B3228D"/>
    <w:rsid w:val="00B35034"/>
    <w:rsid w:val="00B460E0"/>
    <w:rsid w:val="00B474CD"/>
    <w:rsid w:val="00B53E9B"/>
    <w:rsid w:val="00B55E5E"/>
    <w:rsid w:val="00B65D2A"/>
    <w:rsid w:val="00B70C3F"/>
    <w:rsid w:val="00B71E41"/>
    <w:rsid w:val="00B85466"/>
    <w:rsid w:val="00B91FA9"/>
    <w:rsid w:val="00B95DFD"/>
    <w:rsid w:val="00BA0936"/>
    <w:rsid w:val="00BA3237"/>
    <w:rsid w:val="00BA3593"/>
    <w:rsid w:val="00BA4C98"/>
    <w:rsid w:val="00BA5773"/>
    <w:rsid w:val="00BB30F9"/>
    <w:rsid w:val="00BB6154"/>
    <w:rsid w:val="00BD029F"/>
    <w:rsid w:val="00BE0D47"/>
    <w:rsid w:val="00BE18A2"/>
    <w:rsid w:val="00BE46DD"/>
    <w:rsid w:val="00BE5CCF"/>
    <w:rsid w:val="00BF18D5"/>
    <w:rsid w:val="00BF41EA"/>
    <w:rsid w:val="00C02501"/>
    <w:rsid w:val="00C03339"/>
    <w:rsid w:val="00C10F78"/>
    <w:rsid w:val="00C12B25"/>
    <w:rsid w:val="00C16901"/>
    <w:rsid w:val="00C33A71"/>
    <w:rsid w:val="00C43ABD"/>
    <w:rsid w:val="00C46F02"/>
    <w:rsid w:val="00C5119D"/>
    <w:rsid w:val="00C67030"/>
    <w:rsid w:val="00C85111"/>
    <w:rsid w:val="00C85252"/>
    <w:rsid w:val="00C866B9"/>
    <w:rsid w:val="00C96716"/>
    <w:rsid w:val="00CA081C"/>
    <w:rsid w:val="00CB5C18"/>
    <w:rsid w:val="00CC08A5"/>
    <w:rsid w:val="00CC60DA"/>
    <w:rsid w:val="00CC6C00"/>
    <w:rsid w:val="00CD4166"/>
    <w:rsid w:val="00CF7276"/>
    <w:rsid w:val="00D00C9C"/>
    <w:rsid w:val="00D1122F"/>
    <w:rsid w:val="00D11816"/>
    <w:rsid w:val="00D1603C"/>
    <w:rsid w:val="00D24127"/>
    <w:rsid w:val="00D43EB5"/>
    <w:rsid w:val="00D462B8"/>
    <w:rsid w:val="00D51E82"/>
    <w:rsid w:val="00D574F0"/>
    <w:rsid w:val="00D63F04"/>
    <w:rsid w:val="00D8196F"/>
    <w:rsid w:val="00D86822"/>
    <w:rsid w:val="00D91605"/>
    <w:rsid w:val="00D91A24"/>
    <w:rsid w:val="00D93123"/>
    <w:rsid w:val="00D93A77"/>
    <w:rsid w:val="00D9424B"/>
    <w:rsid w:val="00D97436"/>
    <w:rsid w:val="00DA009E"/>
    <w:rsid w:val="00DB0633"/>
    <w:rsid w:val="00DB49FE"/>
    <w:rsid w:val="00DB73ED"/>
    <w:rsid w:val="00DC13BA"/>
    <w:rsid w:val="00DC735A"/>
    <w:rsid w:val="00DD07C1"/>
    <w:rsid w:val="00DE2CB8"/>
    <w:rsid w:val="00DF5033"/>
    <w:rsid w:val="00E0147C"/>
    <w:rsid w:val="00E075C9"/>
    <w:rsid w:val="00E2599F"/>
    <w:rsid w:val="00E27613"/>
    <w:rsid w:val="00E45E61"/>
    <w:rsid w:val="00E525D2"/>
    <w:rsid w:val="00E52BC8"/>
    <w:rsid w:val="00E5657C"/>
    <w:rsid w:val="00E607DC"/>
    <w:rsid w:val="00E62AFB"/>
    <w:rsid w:val="00E62BE9"/>
    <w:rsid w:val="00E63227"/>
    <w:rsid w:val="00E6401D"/>
    <w:rsid w:val="00E669AC"/>
    <w:rsid w:val="00E67EA0"/>
    <w:rsid w:val="00E83188"/>
    <w:rsid w:val="00E83753"/>
    <w:rsid w:val="00E83A0E"/>
    <w:rsid w:val="00E83CB6"/>
    <w:rsid w:val="00E87D28"/>
    <w:rsid w:val="00E96E5C"/>
    <w:rsid w:val="00E970E5"/>
    <w:rsid w:val="00EB4A06"/>
    <w:rsid w:val="00EB77BC"/>
    <w:rsid w:val="00EC74C7"/>
    <w:rsid w:val="00ED2653"/>
    <w:rsid w:val="00ED77BC"/>
    <w:rsid w:val="00EE7FC8"/>
    <w:rsid w:val="00EF4021"/>
    <w:rsid w:val="00EF6722"/>
    <w:rsid w:val="00F00B9F"/>
    <w:rsid w:val="00F07E28"/>
    <w:rsid w:val="00F106C9"/>
    <w:rsid w:val="00F109CB"/>
    <w:rsid w:val="00F134AB"/>
    <w:rsid w:val="00F1631E"/>
    <w:rsid w:val="00F2335E"/>
    <w:rsid w:val="00F241B4"/>
    <w:rsid w:val="00F2456E"/>
    <w:rsid w:val="00F3116F"/>
    <w:rsid w:val="00F364DF"/>
    <w:rsid w:val="00F3692C"/>
    <w:rsid w:val="00F42BFA"/>
    <w:rsid w:val="00F44D7F"/>
    <w:rsid w:val="00F55F66"/>
    <w:rsid w:val="00F60B3C"/>
    <w:rsid w:val="00F64F23"/>
    <w:rsid w:val="00F6747B"/>
    <w:rsid w:val="00F758DC"/>
    <w:rsid w:val="00F77318"/>
    <w:rsid w:val="00F80851"/>
    <w:rsid w:val="00F830DF"/>
    <w:rsid w:val="00F871D7"/>
    <w:rsid w:val="00F87BE5"/>
    <w:rsid w:val="00F97635"/>
    <w:rsid w:val="00F97CC9"/>
    <w:rsid w:val="00FA2E08"/>
    <w:rsid w:val="00FA41B8"/>
    <w:rsid w:val="00FA44F4"/>
    <w:rsid w:val="00FC4B22"/>
    <w:rsid w:val="00FE439E"/>
    <w:rsid w:val="0C343540"/>
    <w:rsid w:val="0F3B8967"/>
    <w:rsid w:val="2A67336C"/>
    <w:rsid w:val="41457156"/>
    <w:rsid w:val="5B9A563C"/>
    <w:rsid w:val="5E79950A"/>
    <w:rsid w:val="5F2FB3E0"/>
    <w:rsid w:val="5FF70071"/>
    <w:rsid w:val="6D0C16C2"/>
    <w:rsid w:val="77FBA047"/>
    <w:rsid w:val="EFDBEB48"/>
    <w:rsid w:val="FBFB29EF"/>
    <w:rsid w:val="FEDF1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仿宋_GB2312" w:eastAsia="仿宋_GB2312" w:hAnsiTheme="minorHAnsi"/>
      <w:kern w:val="0"/>
      <w:sz w:val="22"/>
      <w:szCs w:val="28"/>
      <w14:ligatures w14:val="standard"/>
      <w14:numSpacing w14:val="proportional"/>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idowControl/>
      <w:numPr>
        <w:ilvl w:val="0"/>
        <w:numId w:val="1"/>
      </w:numPr>
      <w:spacing w:line="560" w:lineRule="exact"/>
      <w:jc w:val="left"/>
      <w:outlineLvl w:val="0"/>
    </w:pPr>
    <w:rPr>
      <w:rFonts w:ascii="仿宋_GB2312" w:hAnsi="新宋体" w:eastAsia="仿宋_GB2312" w:cs="Calibri"/>
      <w:b/>
      <w:bCs/>
      <w:caps/>
      <w:kern w:val="0"/>
      <w:sz w:val="30"/>
      <w:szCs w:val="28"/>
      <w14:ligatures w14:val="standard"/>
      <w14:numSpacing w14:val="proportional"/>
    </w:rPr>
  </w:style>
  <w:style w:type="paragraph" w:styleId="10">
    <w:name w:val="footnote text"/>
    <w:basedOn w:val="1"/>
    <w:link w:val="27"/>
    <w:unhideWhenUsed/>
    <w:qFormat/>
    <w:uiPriority w:val="99"/>
    <w:pPr>
      <w:snapToGrid w:val="0"/>
      <w:jc w:val="left"/>
    </w:pPr>
    <w:rPr>
      <w:sz w:val="18"/>
      <w:szCs w:val="18"/>
    </w:rPr>
  </w:style>
  <w:style w:type="paragraph" w:styleId="11">
    <w:name w:val="toc 2"/>
    <w:basedOn w:val="1"/>
    <w:next w:val="1"/>
    <w:qFormat/>
    <w:uiPriority w:val="39"/>
    <w:pPr>
      <w:widowControl/>
      <w:spacing w:line="560" w:lineRule="exact"/>
      <w:ind w:left="420" w:hanging="420"/>
      <w:jc w:val="left"/>
      <w:outlineLvl w:val="1"/>
    </w:pPr>
    <w:rPr>
      <w:rFonts w:ascii="仿宋_GB2312" w:hAnsi="Calibri" w:eastAsia="仿宋_GB2312" w:cs="Calibri"/>
      <w:b/>
      <w:smallCaps/>
      <w:kern w:val="0"/>
      <w:sz w:val="28"/>
      <w:szCs w:val="28"/>
      <w14:ligatures w14:val="standard"/>
      <w14:numSpacing w14:val="proportional"/>
    </w:rPr>
  </w:style>
  <w:style w:type="paragraph" w:styleId="12">
    <w:name w:val="annotation subject"/>
    <w:basedOn w:val="5"/>
    <w:next w:val="5"/>
    <w:link w:val="29"/>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styleId="18">
    <w:name w:val="footnote reference"/>
    <w:basedOn w:val="15"/>
    <w:unhideWhenUsed/>
    <w:qFormat/>
    <w:uiPriority w:val="99"/>
    <w:rPr>
      <w:vertAlign w:val="superscript"/>
    </w:rPr>
  </w:style>
  <w:style w:type="character" w:customStyle="1" w:styleId="19">
    <w:name w:val="页眉 字符"/>
    <w:basedOn w:val="15"/>
    <w:link w:val="8"/>
    <w:qFormat/>
    <w:uiPriority w:val="99"/>
    <w:rPr>
      <w:sz w:val="18"/>
      <w:szCs w:val="18"/>
    </w:rPr>
  </w:style>
  <w:style w:type="character" w:customStyle="1" w:styleId="20">
    <w:name w:val="页脚 字符"/>
    <w:basedOn w:val="15"/>
    <w:link w:val="7"/>
    <w:qFormat/>
    <w:uiPriority w:val="99"/>
    <w:rPr>
      <w:sz w:val="18"/>
      <w:szCs w:val="18"/>
    </w:rPr>
  </w:style>
  <w:style w:type="character" w:customStyle="1" w:styleId="21">
    <w:name w:val="标题 1 字符"/>
    <w:basedOn w:val="15"/>
    <w:link w:val="2"/>
    <w:qFormat/>
    <w:uiPriority w:val="0"/>
    <w:rPr>
      <w:b/>
      <w:bCs/>
      <w:kern w:val="44"/>
      <w:sz w:val="44"/>
      <w:szCs w:val="44"/>
    </w:rPr>
  </w:style>
  <w:style w:type="paragraph" w:customStyle="1" w:styleId="22">
    <w:name w:val="TOC 标题1"/>
    <w:basedOn w:val="2"/>
    <w:next w:val="1"/>
    <w:unhideWhenUsed/>
    <w:qFormat/>
    <w:uiPriority w:val="39"/>
    <w:pPr>
      <w:keepLines w:val="0"/>
      <w:widowControl/>
      <w:spacing w:before="240" w:after="60" w:line="240" w:lineRule="auto"/>
      <w:jc w:val="left"/>
      <w:outlineLvl w:val="9"/>
    </w:pPr>
    <w:rPr>
      <w:rFonts w:asciiTheme="majorHAnsi" w:hAnsiTheme="majorHAnsi" w:eastAsiaTheme="majorEastAsia" w:cstheme="majorBidi"/>
      <w:kern w:val="32"/>
      <w:sz w:val="32"/>
      <w:szCs w:val="32"/>
      <w14:ligatures w14:val="standard"/>
      <w14:numSpacing w14:val="proportional"/>
    </w:rPr>
  </w:style>
  <w:style w:type="paragraph" w:customStyle="1" w:styleId="23">
    <w:name w:val="样式1"/>
    <w:basedOn w:val="1"/>
    <w:link w:val="24"/>
    <w:qFormat/>
    <w:uiPriority w:val="0"/>
    <w:pPr>
      <w:widowControl/>
      <w:spacing w:line="500" w:lineRule="exact"/>
      <w:jc w:val="left"/>
    </w:pPr>
    <w:rPr>
      <w:rFonts w:ascii="黑体" w:hAnsi="黑体" w:eastAsia="黑体" w:cs="黑体"/>
      <w:kern w:val="0"/>
      <w:sz w:val="28"/>
      <w:szCs w:val="28"/>
      <w14:ligatures w14:val="standard"/>
      <w14:numSpacing w14:val="proportional"/>
    </w:rPr>
  </w:style>
  <w:style w:type="character" w:customStyle="1" w:styleId="24">
    <w:name w:val="样式1 字符"/>
    <w:basedOn w:val="15"/>
    <w:link w:val="23"/>
    <w:qFormat/>
    <w:uiPriority w:val="0"/>
    <w:rPr>
      <w:rFonts w:ascii="黑体" w:hAnsi="黑体" w:eastAsia="黑体" w:cs="黑体"/>
      <w:kern w:val="0"/>
      <w:sz w:val="28"/>
      <w:szCs w:val="28"/>
      <w14:ligatures w14:val="standard"/>
      <w14:numSpacing w14:val="proportional"/>
    </w:rPr>
  </w:style>
  <w:style w:type="paragraph" w:customStyle="1" w:styleId="25">
    <w:name w:val="卢俊1"/>
    <w:basedOn w:val="1"/>
    <w:link w:val="26"/>
    <w:qFormat/>
    <w:uiPriority w:val="0"/>
    <w:pPr>
      <w:widowControl/>
      <w:spacing w:line="500" w:lineRule="exact"/>
      <w:ind w:firstLine="562" w:firstLineChars="200"/>
      <w:jc w:val="left"/>
    </w:pPr>
    <w:rPr>
      <w:rFonts w:ascii="黑体" w:hAnsi="黑体" w:eastAsia="黑体" w:cs="黑体"/>
      <w:b/>
      <w:bCs/>
      <w:kern w:val="0"/>
      <w:sz w:val="28"/>
      <w:szCs w:val="28"/>
      <w14:ligatures w14:val="standard"/>
      <w14:numSpacing w14:val="proportional"/>
    </w:rPr>
  </w:style>
  <w:style w:type="character" w:customStyle="1" w:styleId="26">
    <w:name w:val="卢俊1 字符"/>
    <w:basedOn w:val="15"/>
    <w:link w:val="25"/>
    <w:qFormat/>
    <w:uiPriority w:val="0"/>
    <w:rPr>
      <w:rFonts w:ascii="黑体" w:hAnsi="黑体" w:eastAsia="黑体" w:cs="黑体"/>
      <w:b/>
      <w:bCs/>
      <w:kern w:val="0"/>
      <w:sz w:val="28"/>
      <w:szCs w:val="28"/>
      <w14:ligatures w14:val="standard"/>
      <w14:numSpacing w14:val="proportional"/>
    </w:rPr>
  </w:style>
  <w:style w:type="character" w:customStyle="1" w:styleId="27">
    <w:name w:val="脚注文本 字符"/>
    <w:basedOn w:val="15"/>
    <w:link w:val="10"/>
    <w:semiHidden/>
    <w:qFormat/>
    <w:uiPriority w:val="99"/>
    <w:rPr>
      <w:rFonts w:ascii="Times New Roman" w:hAnsi="Times New Roman" w:eastAsia="宋体" w:cs="Times New Roman"/>
      <w:sz w:val="18"/>
      <w:szCs w:val="18"/>
    </w:rPr>
  </w:style>
  <w:style w:type="character" w:customStyle="1" w:styleId="28">
    <w:name w:val="批注文字 字符"/>
    <w:basedOn w:val="15"/>
    <w:link w:val="5"/>
    <w:semiHidden/>
    <w:qFormat/>
    <w:uiPriority w:val="99"/>
    <w:rPr>
      <w:rFonts w:ascii="Times New Roman" w:hAnsi="Times New Roman" w:eastAsia="宋体" w:cs="Times New Roman"/>
      <w:szCs w:val="20"/>
    </w:rPr>
  </w:style>
  <w:style w:type="character" w:customStyle="1" w:styleId="29">
    <w:name w:val="批注主题 字符"/>
    <w:basedOn w:val="28"/>
    <w:link w:val="12"/>
    <w:semiHidden/>
    <w:qFormat/>
    <w:uiPriority w:val="99"/>
    <w:rPr>
      <w:rFonts w:ascii="Times New Roman" w:hAnsi="Times New Roman" w:eastAsia="宋体" w:cs="Times New Roman"/>
      <w:b/>
      <w:bCs/>
      <w:szCs w:val="20"/>
    </w:rPr>
  </w:style>
  <w:style w:type="character" w:customStyle="1" w:styleId="30">
    <w:name w:val="标题 3 字符"/>
    <w:basedOn w:val="15"/>
    <w:link w:val="3"/>
    <w:semiHidden/>
    <w:qFormat/>
    <w:uiPriority w:val="9"/>
    <w:rPr>
      <w:rFonts w:ascii="Times New Roman" w:hAnsi="Times New Roman" w:eastAsia="宋体" w:cs="Times New Roman"/>
      <w:b/>
      <w:bCs/>
      <w:kern w:val="2"/>
      <w:sz w:val="32"/>
      <w:szCs w:val="32"/>
    </w:rPr>
  </w:style>
  <w:style w:type="character" w:customStyle="1" w:styleId="31">
    <w:name w:val="标题 4 字符"/>
    <w:basedOn w:val="15"/>
    <w:link w:val="4"/>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1404</Words>
  <Characters>8005</Characters>
  <Lines>66</Lines>
  <Paragraphs>18</Paragraphs>
  <TotalTime>114</TotalTime>
  <ScaleCrop>false</ScaleCrop>
  <LinksUpToDate>false</LinksUpToDate>
  <CharactersWithSpaces>9391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2023-04-19T21:02:00Z</dcterms:created>
  <dc:creator>user</dc:creator>
  <cp:lastModifiedBy>user</cp:lastModifiedBy>
  <cp:lastPrinted>2024-03-29T18:38:00Z</cp:lastPrinted>
  <dcterms:modified xsi:type="dcterms:W3CDTF">2024-04-15T15:01:24Z</dcterms:modified>
  <dc:title>附件２</dc:title>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145F096E458341BD8903A8BFDBEDA9A7_13</vt:lpwstr>
  </property>
</Properties>
</file>