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3DE" w:rsidRDefault="00CD63DE">
      <w:pPr>
        <w:spacing w:line="480" w:lineRule="exact"/>
        <w:rPr>
          <w:rFonts w:ascii="黑体" w:eastAsia="黑体" w:hAnsi="宋体"/>
          <w:color w:val="000000"/>
          <w:kern w:val="0"/>
          <w:sz w:val="30"/>
          <w:szCs w:val="30"/>
        </w:rPr>
      </w:pPr>
    </w:p>
    <w:p w:rsidR="00CD63DE" w:rsidRDefault="00CD63DE">
      <w:pPr>
        <w:spacing w:line="760" w:lineRule="exact"/>
        <w:rPr>
          <w:rFonts w:ascii="黑体" w:eastAsia="黑体" w:hAnsi="宋体"/>
          <w:color w:val="FF0000"/>
          <w:kern w:val="0"/>
          <w:sz w:val="30"/>
          <w:szCs w:val="30"/>
        </w:rPr>
      </w:pPr>
    </w:p>
    <w:tbl>
      <w:tblPr>
        <w:tblW w:w="0" w:type="auto"/>
        <w:tblLayout w:type="fixed"/>
        <w:tblLook w:val="04A0"/>
      </w:tblPr>
      <w:tblGrid>
        <w:gridCol w:w="7848"/>
        <w:gridCol w:w="1080"/>
      </w:tblGrid>
      <w:tr w:rsidR="00CD63DE">
        <w:tc>
          <w:tcPr>
            <w:tcW w:w="7848" w:type="dxa"/>
          </w:tcPr>
          <w:p w:rsidR="00CD63DE" w:rsidRDefault="00615A3D">
            <w:pPr>
              <w:spacing w:line="1000" w:lineRule="exact"/>
              <w:jc w:val="distribute"/>
              <w:rPr>
                <w:rFonts w:ascii="方正小标宋简体" w:eastAsia="方正小标宋简体" w:hAnsi="宋体"/>
                <w:color w:val="FF0000"/>
                <w:spacing w:val="4"/>
                <w:w w:val="59"/>
                <w:kern w:val="0"/>
                <w:sz w:val="72"/>
                <w:szCs w:val="72"/>
              </w:rPr>
            </w:pPr>
            <w:r>
              <w:rPr>
                <w:rFonts w:ascii="方正小标宋简体" w:eastAsia="方正小标宋简体" w:hAnsi="宋体" w:hint="eastAsia"/>
                <w:color w:val="FF0000"/>
                <w:spacing w:val="4"/>
                <w:w w:val="59"/>
                <w:kern w:val="0"/>
                <w:sz w:val="72"/>
                <w:szCs w:val="72"/>
              </w:rPr>
              <w:t>上海市教育委员会</w:t>
            </w:r>
          </w:p>
        </w:tc>
        <w:tc>
          <w:tcPr>
            <w:tcW w:w="1080" w:type="dxa"/>
            <w:vMerge w:val="restart"/>
            <w:vAlign w:val="center"/>
          </w:tcPr>
          <w:p w:rsidR="00CD63DE" w:rsidRDefault="00615A3D">
            <w:pPr>
              <w:spacing w:line="1000" w:lineRule="exact"/>
              <w:rPr>
                <w:rFonts w:ascii="方正小标宋简体" w:eastAsia="方正小标宋简体" w:hAnsi="宋体"/>
                <w:color w:val="FF0000"/>
                <w:sz w:val="72"/>
                <w:szCs w:val="72"/>
              </w:rPr>
            </w:pPr>
            <w:r>
              <w:rPr>
                <w:rFonts w:ascii="方正小标宋简体" w:eastAsia="方正小标宋简体" w:hAnsi="宋体" w:hint="eastAsia"/>
                <w:color w:val="FF0000"/>
                <w:spacing w:val="4"/>
                <w:w w:val="59"/>
                <w:kern w:val="0"/>
                <w:sz w:val="72"/>
                <w:szCs w:val="72"/>
              </w:rPr>
              <w:t>文</w:t>
            </w:r>
            <w:r>
              <w:rPr>
                <w:rFonts w:ascii="方正小标宋简体" w:eastAsia="方正小标宋简体" w:hAnsi="宋体" w:hint="eastAsia"/>
                <w:color w:val="FF0000"/>
                <w:spacing w:val="-29"/>
                <w:w w:val="59"/>
                <w:kern w:val="0"/>
                <w:sz w:val="72"/>
                <w:szCs w:val="72"/>
              </w:rPr>
              <w:t>件</w:t>
            </w:r>
          </w:p>
        </w:tc>
      </w:tr>
      <w:tr w:rsidR="00CD63DE">
        <w:tc>
          <w:tcPr>
            <w:tcW w:w="7848" w:type="dxa"/>
          </w:tcPr>
          <w:p w:rsidR="00CD63DE" w:rsidRDefault="00615A3D">
            <w:pPr>
              <w:spacing w:line="1000" w:lineRule="exact"/>
              <w:jc w:val="distribute"/>
              <w:rPr>
                <w:rFonts w:ascii="方正小标宋简体" w:eastAsia="方正小标宋简体" w:hAnsi="宋体"/>
                <w:color w:val="FF0000"/>
                <w:spacing w:val="4"/>
                <w:w w:val="59"/>
                <w:kern w:val="0"/>
                <w:sz w:val="72"/>
                <w:szCs w:val="72"/>
              </w:rPr>
            </w:pPr>
            <w:r>
              <w:rPr>
                <w:rFonts w:ascii="方正小标宋简体" w:eastAsia="方正小标宋简体" w:hAnsi="宋体" w:hint="eastAsia"/>
                <w:color w:val="FF0000"/>
                <w:spacing w:val="4"/>
                <w:w w:val="59"/>
                <w:kern w:val="0"/>
                <w:sz w:val="72"/>
                <w:szCs w:val="72"/>
              </w:rPr>
              <w:t>上海市统计局</w:t>
            </w:r>
          </w:p>
        </w:tc>
        <w:tc>
          <w:tcPr>
            <w:tcW w:w="1080" w:type="dxa"/>
            <w:vMerge/>
          </w:tcPr>
          <w:p w:rsidR="00CD63DE" w:rsidRDefault="00CD63DE">
            <w:pPr>
              <w:spacing w:line="1000" w:lineRule="exact"/>
              <w:jc w:val="center"/>
              <w:rPr>
                <w:rFonts w:ascii="方正小标宋简体" w:eastAsia="方正小标宋简体" w:hAnsi="宋体"/>
                <w:color w:val="FF0000"/>
                <w:spacing w:val="4"/>
                <w:w w:val="59"/>
                <w:kern w:val="0"/>
                <w:sz w:val="72"/>
                <w:szCs w:val="72"/>
              </w:rPr>
            </w:pPr>
          </w:p>
        </w:tc>
      </w:tr>
      <w:tr w:rsidR="00CD63DE">
        <w:tc>
          <w:tcPr>
            <w:tcW w:w="7848" w:type="dxa"/>
          </w:tcPr>
          <w:p w:rsidR="00CD63DE" w:rsidRDefault="00615A3D">
            <w:pPr>
              <w:spacing w:line="1000" w:lineRule="exact"/>
              <w:jc w:val="distribute"/>
              <w:rPr>
                <w:rFonts w:ascii="方正小标宋简体" w:eastAsia="方正小标宋简体" w:hAnsi="宋体"/>
                <w:color w:val="FF0000"/>
                <w:spacing w:val="4"/>
                <w:w w:val="59"/>
                <w:kern w:val="0"/>
                <w:sz w:val="72"/>
                <w:szCs w:val="72"/>
              </w:rPr>
            </w:pPr>
            <w:r>
              <w:rPr>
                <w:rFonts w:ascii="方正小标宋简体" w:eastAsia="方正小标宋简体" w:hAnsi="宋体" w:hint="eastAsia"/>
                <w:color w:val="FF0000"/>
                <w:spacing w:val="4"/>
                <w:w w:val="59"/>
                <w:kern w:val="0"/>
                <w:sz w:val="72"/>
                <w:szCs w:val="72"/>
              </w:rPr>
              <w:t>上海市财政局</w:t>
            </w:r>
          </w:p>
        </w:tc>
        <w:tc>
          <w:tcPr>
            <w:tcW w:w="1080" w:type="dxa"/>
            <w:vMerge/>
          </w:tcPr>
          <w:p w:rsidR="00CD63DE" w:rsidRDefault="00CD63DE">
            <w:pPr>
              <w:spacing w:line="1000" w:lineRule="exact"/>
              <w:jc w:val="center"/>
              <w:rPr>
                <w:rFonts w:ascii="方正小标宋简体" w:eastAsia="方正小标宋简体" w:hAnsi="宋体"/>
                <w:color w:val="FF0000"/>
                <w:spacing w:val="4"/>
                <w:w w:val="59"/>
                <w:kern w:val="0"/>
                <w:sz w:val="72"/>
                <w:szCs w:val="72"/>
              </w:rPr>
            </w:pPr>
          </w:p>
        </w:tc>
      </w:tr>
    </w:tbl>
    <w:p w:rsidR="00CD63DE" w:rsidRDefault="00CD63DE">
      <w:pPr>
        <w:spacing w:line="480" w:lineRule="exact"/>
        <w:jc w:val="center"/>
        <w:rPr>
          <w:rFonts w:ascii="仿宋_GB2312" w:eastAsia="仿宋_GB2312"/>
          <w:sz w:val="32"/>
        </w:rPr>
      </w:pPr>
    </w:p>
    <w:p w:rsidR="00CD63DE" w:rsidRDefault="00CD63DE">
      <w:pPr>
        <w:spacing w:line="480" w:lineRule="exact"/>
        <w:jc w:val="center"/>
        <w:rPr>
          <w:rFonts w:ascii="仿宋_GB2312" w:eastAsia="仿宋_GB2312"/>
          <w:sz w:val="32"/>
        </w:rPr>
      </w:pPr>
    </w:p>
    <w:tbl>
      <w:tblPr>
        <w:tblW w:w="0" w:type="auto"/>
        <w:tblLook w:val="04A0"/>
      </w:tblPr>
      <w:tblGrid>
        <w:gridCol w:w="9037"/>
      </w:tblGrid>
      <w:tr w:rsidR="00CD63DE">
        <w:tc>
          <w:tcPr>
            <w:tcW w:w="9037" w:type="dxa"/>
            <w:tcBorders>
              <w:bottom w:val="single" w:sz="12" w:space="0" w:color="FF0000"/>
            </w:tcBorders>
          </w:tcPr>
          <w:p w:rsidR="00CD63DE" w:rsidRDefault="00615A3D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bookmarkStart w:id="0" w:name="_GoBack"/>
            <w:r>
              <w:rPr>
                <w:rFonts w:ascii="仿宋_GB2312" w:eastAsia="仿宋_GB2312" w:hint="eastAsia"/>
                <w:sz w:val="30"/>
                <w:szCs w:val="30"/>
              </w:rPr>
              <w:t>沪教委财</w:t>
            </w:r>
            <w:r>
              <w:rPr>
                <w:rFonts w:ascii="仿宋_GB2312" w:eastAsia="仿宋_GB2312"/>
                <w:sz w:val="30"/>
                <w:szCs w:val="30"/>
              </w:rPr>
              <w:t>〔</w:t>
            </w:r>
            <w:r>
              <w:rPr>
                <w:rFonts w:ascii="仿宋_GB2312" w:eastAsia="仿宋_GB2312" w:hint="eastAsia"/>
                <w:sz w:val="30"/>
                <w:szCs w:val="30"/>
              </w:rPr>
              <w:t>2026</w:t>
            </w:r>
            <w:r>
              <w:rPr>
                <w:rFonts w:ascii="仿宋_GB2312" w:eastAsia="仿宋_GB2312"/>
                <w:sz w:val="30"/>
                <w:szCs w:val="30"/>
              </w:rPr>
              <w:t>〕</w:t>
            </w:r>
            <w:r>
              <w:rPr>
                <w:rFonts w:ascii="仿宋_GB2312" w:eastAsia="仿宋_GB2312" w:hint="eastAsia"/>
                <w:sz w:val="30"/>
                <w:szCs w:val="30"/>
              </w:rPr>
              <w:t>7号</w:t>
            </w:r>
            <w:bookmarkEnd w:id="0"/>
          </w:p>
        </w:tc>
      </w:tr>
    </w:tbl>
    <w:p w:rsidR="00CD63DE" w:rsidRDefault="00CD63DE">
      <w:pPr>
        <w:spacing w:line="480" w:lineRule="exact"/>
        <w:ind w:right="1"/>
        <w:rPr>
          <w:rFonts w:ascii="仿宋_GB2312" w:eastAsia="仿宋_GB2312"/>
          <w:sz w:val="32"/>
        </w:rPr>
      </w:pPr>
    </w:p>
    <w:p w:rsidR="00CD63DE" w:rsidRDefault="00CD63DE">
      <w:pPr>
        <w:spacing w:line="480" w:lineRule="exact"/>
        <w:rPr>
          <w:rFonts w:ascii="仿宋_GB2312" w:eastAsia="仿宋_GB2312"/>
          <w:sz w:val="32"/>
        </w:rPr>
      </w:pPr>
    </w:p>
    <w:p w:rsidR="00CD63DE" w:rsidRDefault="00615A3D">
      <w:pPr>
        <w:spacing w:line="580" w:lineRule="exact"/>
        <w:jc w:val="center"/>
        <w:outlineLvl w:val="0"/>
        <w:rPr>
          <w:rFonts w:ascii="方正小标宋简体" w:eastAsia="方正小标宋简体"/>
          <w:color w:val="000000"/>
          <w:sz w:val="38"/>
          <w:szCs w:val="38"/>
        </w:rPr>
      </w:pPr>
      <w:r>
        <w:rPr>
          <w:rFonts w:ascii="方正小标宋简体" w:eastAsia="方正小标宋简体" w:hint="eastAsia"/>
          <w:sz w:val="38"/>
          <w:szCs w:val="38"/>
        </w:rPr>
        <w:t xml:space="preserve">上海市教育委员会 </w:t>
      </w:r>
      <w:r>
        <w:rPr>
          <w:rFonts w:ascii="方正小标宋简体" w:eastAsia="方正小标宋简体" w:hint="eastAsia"/>
          <w:color w:val="000000"/>
          <w:sz w:val="38"/>
          <w:szCs w:val="38"/>
        </w:rPr>
        <w:t>上海市统计局 上海市财政局</w:t>
      </w:r>
    </w:p>
    <w:p w:rsidR="00CD63DE" w:rsidRDefault="00615A3D">
      <w:pPr>
        <w:spacing w:line="580" w:lineRule="exact"/>
        <w:jc w:val="center"/>
        <w:outlineLvl w:val="0"/>
        <w:rPr>
          <w:rFonts w:ascii="方正小标宋简体" w:eastAsia="方正小标宋简体"/>
          <w:color w:val="000000"/>
          <w:sz w:val="38"/>
          <w:szCs w:val="38"/>
        </w:rPr>
      </w:pPr>
      <w:bookmarkStart w:id="1" w:name="_Toc9872988"/>
      <w:r>
        <w:rPr>
          <w:rFonts w:ascii="方正小标宋简体" w:eastAsia="方正小标宋简体" w:hint="eastAsia"/>
          <w:color w:val="000000"/>
          <w:sz w:val="38"/>
          <w:szCs w:val="38"/>
        </w:rPr>
        <w:t>关于2024年上海市各区教育经费执行</w:t>
      </w:r>
    </w:p>
    <w:p w:rsidR="00CD63DE" w:rsidRDefault="00615A3D">
      <w:pPr>
        <w:spacing w:line="580" w:lineRule="exact"/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ascii="方正小标宋简体" w:eastAsia="方正小标宋简体" w:hint="eastAsia"/>
          <w:color w:val="000000"/>
          <w:sz w:val="38"/>
          <w:szCs w:val="38"/>
        </w:rPr>
        <w:t>统计情况的通告</w:t>
      </w:r>
      <w:bookmarkEnd w:id="1"/>
    </w:p>
    <w:p w:rsidR="00CD63DE" w:rsidRDefault="00CD63DE">
      <w:pPr>
        <w:spacing w:line="480" w:lineRule="exact"/>
        <w:rPr>
          <w:rFonts w:ascii="仿宋_GB2312" w:eastAsia="仿宋_GB2312"/>
          <w:sz w:val="32"/>
        </w:rPr>
      </w:pPr>
    </w:p>
    <w:p w:rsidR="00CD63DE" w:rsidRDefault="00615A3D">
      <w:pPr>
        <w:spacing w:line="560" w:lineRule="exact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各区人民政府，市政府各有关部门：</w:t>
      </w:r>
    </w:p>
    <w:p w:rsidR="00CD63DE" w:rsidRDefault="00615A3D">
      <w:pPr>
        <w:spacing w:line="560" w:lineRule="exact"/>
        <w:ind w:firstLineChars="200" w:firstLine="600"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为贯彻落实《教育部 国家统计局 财政部关于加强和完善教育经费统计工作的意见》（教财〔2016〕6号）和《教育部 国家统计局 财政部关于适应高质量发展要求 进一步完善教育经费统计体系的意见》（教财〔2023〕5号）精神，切实加强对各区教育经费执行统计情况的监测，现将2024年各区教育经费执行统计情况通告如下：</w:t>
      </w:r>
    </w:p>
    <w:p w:rsidR="00CD63DE" w:rsidRDefault="00615A3D">
      <w:pPr>
        <w:spacing w:line="560" w:lineRule="exact"/>
        <w:ind w:firstLineChars="200" w:firstLine="600"/>
        <w:rPr>
          <w:rFonts w:ascii="黑体" w:eastAsia="黑体" w:hAnsi="宋体"/>
          <w:color w:val="000000"/>
          <w:sz w:val="30"/>
          <w:szCs w:val="30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lastRenderedPageBreak/>
        <w:t>一、一般公共预算教育经费情况</w:t>
      </w:r>
    </w:p>
    <w:p w:rsidR="00CD63DE" w:rsidRDefault="00615A3D">
      <w:pPr>
        <w:spacing w:line="560" w:lineRule="exact"/>
        <w:ind w:firstLineChars="200" w:firstLine="600"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2024年，各区一般公共预算教育经费为852.21亿元，较上年增长2.44%。</w:t>
      </w:r>
    </w:p>
    <w:p w:rsidR="00CD63DE" w:rsidRDefault="00615A3D">
      <w:pPr>
        <w:spacing w:line="560" w:lineRule="exact"/>
        <w:ind w:firstLineChars="200" w:firstLine="600"/>
        <w:rPr>
          <w:rFonts w:ascii="黑体" w:eastAsia="黑体" w:hAnsi="宋体"/>
          <w:color w:val="000000"/>
          <w:sz w:val="30"/>
          <w:szCs w:val="30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二、生均一般公共预算教育经费情况</w:t>
      </w:r>
    </w:p>
    <w:p w:rsidR="00CD63DE" w:rsidRDefault="00615A3D">
      <w:pPr>
        <w:spacing w:line="56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2024年，各区按在校学生人数平均的一般公共预算教育经费为39,270.51元，较上</w:t>
      </w:r>
      <w:r>
        <w:rPr>
          <w:rFonts w:ascii="仿宋_GB2312" w:eastAsia="仿宋_GB2312" w:hAnsi="宋体" w:hint="eastAsia"/>
          <w:sz w:val="30"/>
          <w:szCs w:val="30"/>
        </w:rPr>
        <w:t>年减少0.04％。</w:t>
      </w:r>
    </w:p>
    <w:p w:rsidR="00CD63DE" w:rsidRDefault="00CD63DE">
      <w:pPr>
        <w:spacing w:line="56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</w:p>
    <w:p w:rsidR="00CD63DE" w:rsidRDefault="00615A3D">
      <w:pPr>
        <w:spacing w:line="560" w:lineRule="exact"/>
        <w:ind w:firstLine="646"/>
        <w:rPr>
          <w:rFonts w:ascii="仿宋_GB2312" w:eastAsia="仿宋_GB2312"/>
          <w:color w:val="000000"/>
          <w:szCs w:val="21"/>
        </w:rPr>
      </w:pPr>
      <w:r>
        <w:rPr>
          <w:rFonts w:ascii="仿宋_GB2312" w:eastAsia="仿宋_GB2312" w:hint="eastAsia"/>
          <w:sz w:val="30"/>
          <w:szCs w:val="30"/>
        </w:rPr>
        <w:t>附件：2024年各区教育经费执行情况统计表</w:t>
      </w:r>
      <w:r>
        <w:rPr>
          <w:rFonts w:ascii="仿宋_GB2312" w:eastAsia="仿宋_GB2312"/>
          <w:sz w:val="30"/>
          <w:szCs w:val="30"/>
        </w:rPr>
        <w:t xml:space="preserve"> </w:t>
      </w:r>
    </w:p>
    <w:p w:rsidR="00CD63DE" w:rsidRDefault="00CD63DE">
      <w:pPr>
        <w:rPr>
          <w:rFonts w:ascii="仿宋_GB2312" w:eastAsia="仿宋_GB2312"/>
          <w:color w:val="000000"/>
          <w:szCs w:val="21"/>
        </w:rPr>
      </w:pPr>
    </w:p>
    <w:p w:rsidR="00CD63DE" w:rsidRDefault="00CD63DE">
      <w:pPr>
        <w:rPr>
          <w:rFonts w:ascii="仿宋_GB2312" w:eastAsia="仿宋_GB2312"/>
          <w:color w:val="000000"/>
          <w:szCs w:val="21"/>
        </w:rPr>
      </w:pPr>
    </w:p>
    <w:p w:rsidR="00CD63DE" w:rsidRDefault="00CD63DE">
      <w:pPr>
        <w:rPr>
          <w:rFonts w:ascii="仿宋_GB2312" w:eastAsia="仿宋_GB2312"/>
          <w:color w:val="000000"/>
          <w:szCs w:val="21"/>
        </w:rPr>
      </w:pPr>
    </w:p>
    <w:p w:rsidR="00CD63DE" w:rsidRDefault="00CD63DE">
      <w:pPr>
        <w:rPr>
          <w:rFonts w:ascii="仿宋_GB2312" w:eastAsia="仿宋_GB2312"/>
          <w:color w:val="000000"/>
          <w:szCs w:val="21"/>
        </w:rPr>
      </w:pPr>
    </w:p>
    <w:tbl>
      <w:tblPr>
        <w:tblW w:w="8716" w:type="dxa"/>
        <w:jc w:val="center"/>
        <w:tblLayout w:type="fixed"/>
        <w:tblLook w:val="04A0"/>
      </w:tblPr>
      <w:tblGrid>
        <w:gridCol w:w="2905"/>
        <w:gridCol w:w="2905"/>
        <w:gridCol w:w="2906"/>
      </w:tblGrid>
      <w:tr w:rsidR="00CD63DE">
        <w:trPr>
          <w:jc w:val="center"/>
        </w:trPr>
        <w:tc>
          <w:tcPr>
            <w:tcW w:w="2905" w:type="dxa"/>
            <w:tcFitText/>
          </w:tcPr>
          <w:p w:rsidR="00CD63DE" w:rsidRDefault="00615A3D">
            <w:pPr>
              <w:spacing w:line="560" w:lineRule="exact"/>
              <w:ind w:rightChars="101" w:right="212" w:firstLineChars="62" w:firstLine="177"/>
              <w:jc w:val="distribute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pacing w:val="1"/>
                <w:w w:val="95"/>
                <w:sz w:val="30"/>
                <w:szCs w:val="30"/>
              </w:rPr>
              <w:t>上海市教育委员</w:t>
            </w:r>
            <w:r>
              <w:rPr>
                <w:rFonts w:ascii="仿宋_GB2312" w:eastAsia="仿宋_GB2312" w:hint="eastAsia"/>
                <w:w w:val="95"/>
                <w:sz w:val="30"/>
                <w:szCs w:val="30"/>
              </w:rPr>
              <w:t>会</w:t>
            </w:r>
          </w:p>
        </w:tc>
        <w:tc>
          <w:tcPr>
            <w:tcW w:w="2905" w:type="dxa"/>
            <w:tcFitText/>
          </w:tcPr>
          <w:p w:rsidR="00CD63DE" w:rsidRDefault="00615A3D" w:rsidP="00093B78">
            <w:pPr>
              <w:spacing w:line="560" w:lineRule="exact"/>
              <w:ind w:rightChars="101" w:right="212" w:firstLineChars="62" w:firstLine="237"/>
              <w:jc w:val="distribute"/>
              <w:rPr>
                <w:rFonts w:ascii="仿宋_GB2312" w:eastAsia="仿宋_GB2312"/>
                <w:sz w:val="30"/>
                <w:szCs w:val="30"/>
              </w:rPr>
            </w:pPr>
            <w:r w:rsidRPr="00093B78">
              <w:rPr>
                <w:rFonts w:ascii="仿宋_GB2312" w:eastAsia="仿宋_GB2312" w:hint="eastAsia"/>
                <w:spacing w:val="41"/>
                <w:sz w:val="30"/>
                <w:szCs w:val="30"/>
              </w:rPr>
              <w:t>上海市统计</w:t>
            </w:r>
            <w:r w:rsidRPr="00093B78">
              <w:rPr>
                <w:rFonts w:ascii="仿宋_GB2312" w:eastAsia="仿宋_GB2312" w:hint="eastAsia"/>
                <w:sz w:val="30"/>
                <w:szCs w:val="30"/>
              </w:rPr>
              <w:t>局</w:t>
            </w:r>
          </w:p>
        </w:tc>
        <w:tc>
          <w:tcPr>
            <w:tcW w:w="2906" w:type="dxa"/>
            <w:tcFitText/>
          </w:tcPr>
          <w:p w:rsidR="00CD63DE" w:rsidRDefault="00615A3D" w:rsidP="00093B78">
            <w:pPr>
              <w:spacing w:line="560" w:lineRule="exact"/>
              <w:ind w:rightChars="101" w:right="212" w:firstLineChars="62" w:firstLine="237"/>
              <w:rPr>
                <w:rFonts w:ascii="仿宋_GB2312" w:eastAsia="仿宋_GB2312"/>
                <w:sz w:val="30"/>
                <w:szCs w:val="30"/>
              </w:rPr>
            </w:pPr>
            <w:r w:rsidRPr="00093B78">
              <w:rPr>
                <w:rFonts w:ascii="仿宋_GB2312" w:eastAsia="仿宋_GB2312" w:hint="eastAsia"/>
                <w:spacing w:val="41"/>
                <w:sz w:val="30"/>
                <w:szCs w:val="30"/>
              </w:rPr>
              <w:t>上海市财政</w:t>
            </w:r>
            <w:r w:rsidRPr="00093B78">
              <w:rPr>
                <w:rFonts w:ascii="仿宋_GB2312" w:eastAsia="仿宋_GB2312" w:hint="eastAsia"/>
                <w:spacing w:val="1"/>
                <w:sz w:val="30"/>
                <w:szCs w:val="30"/>
              </w:rPr>
              <w:t>局</w:t>
            </w:r>
          </w:p>
        </w:tc>
      </w:tr>
      <w:tr w:rsidR="00CD63DE">
        <w:trPr>
          <w:jc w:val="center"/>
        </w:trPr>
        <w:tc>
          <w:tcPr>
            <w:tcW w:w="2905" w:type="dxa"/>
            <w:tcFitText/>
          </w:tcPr>
          <w:p w:rsidR="00CD63DE" w:rsidRDefault="00CD63DE" w:rsidP="007844A1">
            <w:pPr>
              <w:spacing w:line="560" w:lineRule="exact"/>
              <w:ind w:rightChars="101" w:right="212" w:firstLineChars="62" w:firstLine="121"/>
              <w:jc w:val="distribute"/>
              <w:rPr>
                <w:rFonts w:ascii="仿宋_GB2312" w:eastAsia="仿宋_GB2312"/>
                <w:spacing w:val="6"/>
                <w:w w:val="61"/>
                <w:kern w:val="0"/>
                <w:sz w:val="30"/>
                <w:szCs w:val="30"/>
              </w:rPr>
            </w:pPr>
          </w:p>
        </w:tc>
        <w:tc>
          <w:tcPr>
            <w:tcW w:w="2905" w:type="dxa"/>
            <w:tcFitText/>
          </w:tcPr>
          <w:p w:rsidR="00CD63DE" w:rsidRDefault="00CD63DE">
            <w:pPr>
              <w:spacing w:line="560" w:lineRule="exact"/>
              <w:ind w:rightChars="101" w:right="212" w:firstLineChars="62" w:firstLine="223"/>
              <w:jc w:val="distribute"/>
              <w:rPr>
                <w:rFonts w:ascii="仿宋_GB2312" w:eastAsia="仿宋_GB2312"/>
                <w:spacing w:val="30"/>
                <w:kern w:val="0"/>
                <w:sz w:val="30"/>
                <w:szCs w:val="30"/>
              </w:rPr>
            </w:pPr>
          </w:p>
        </w:tc>
        <w:tc>
          <w:tcPr>
            <w:tcW w:w="2906" w:type="dxa"/>
            <w:tcFitText/>
          </w:tcPr>
          <w:p w:rsidR="00CD63DE" w:rsidRDefault="00615A3D" w:rsidP="00093B78">
            <w:pPr>
              <w:spacing w:line="560" w:lineRule="exact"/>
              <w:ind w:rightChars="101" w:right="212" w:firstLineChars="62" w:firstLine="198"/>
              <w:rPr>
                <w:rFonts w:ascii="仿宋_GB2312" w:eastAsia="仿宋_GB2312"/>
                <w:w w:val="60"/>
                <w:kern w:val="0"/>
                <w:sz w:val="30"/>
                <w:szCs w:val="30"/>
              </w:rPr>
            </w:pPr>
            <w:r w:rsidRPr="00093B78">
              <w:rPr>
                <w:rFonts w:ascii="仿宋_GB2312" w:eastAsia="仿宋_GB2312" w:hint="eastAsia"/>
                <w:spacing w:val="10"/>
                <w:kern w:val="0"/>
                <w:sz w:val="30"/>
                <w:szCs w:val="30"/>
              </w:rPr>
              <w:t>2026年2月9</w:t>
            </w:r>
            <w:r w:rsidRPr="00093B78">
              <w:rPr>
                <w:rFonts w:ascii="仿宋_GB2312" w:eastAsia="仿宋_GB2312" w:hint="eastAsia"/>
                <w:spacing w:val="-22"/>
                <w:kern w:val="0"/>
                <w:sz w:val="30"/>
                <w:szCs w:val="30"/>
              </w:rPr>
              <w:t>日</w:t>
            </w:r>
          </w:p>
        </w:tc>
      </w:tr>
      <w:tr w:rsidR="00CD63DE">
        <w:trPr>
          <w:jc w:val="center"/>
        </w:trPr>
        <w:tc>
          <w:tcPr>
            <w:tcW w:w="2905" w:type="dxa"/>
            <w:tcFitText/>
          </w:tcPr>
          <w:p w:rsidR="00CD63DE" w:rsidRDefault="00CD63DE" w:rsidP="007844A1">
            <w:pPr>
              <w:spacing w:line="560" w:lineRule="exact"/>
              <w:ind w:rightChars="101" w:right="212" w:firstLineChars="62" w:firstLine="121"/>
              <w:jc w:val="distribute"/>
              <w:rPr>
                <w:rFonts w:ascii="仿宋_GB2312" w:eastAsia="仿宋_GB2312"/>
                <w:spacing w:val="6"/>
                <w:w w:val="61"/>
                <w:kern w:val="0"/>
                <w:sz w:val="30"/>
                <w:szCs w:val="30"/>
              </w:rPr>
            </w:pPr>
          </w:p>
        </w:tc>
        <w:tc>
          <w:tcPr>
            <w:tcW w:w="2905" w:type="dxa"/>
            <w:tcFitText/>
          </w:tcPr>
          <w:p w:rsidR="00CD63DE" w:rsidRDefault="00CD63DE">
            <w:pPr>
              <w:spacing w:line="560" w:lineRule="exact"/>
              <w:ind w:rightChars="101" w:right="212" w:firstLineChars="62" w:firstLine="223"/>
              <w:jc w:val="distribute"/>
              <w:rPr>
                <w:rFonts w:ascii="仿宋_GB2312" w:eastAsia="仿宋_GB2312"/>
                <w:spacing w:val="30"/>
                <w:kern w:val="0"/>
                <w:sz w:val="30"/>
                <w:szCs w:val="30"/>
              </w:rPr>
            </w:pPr>
          </w:p>
        </w:tc>
        <w:tc>
          <w:tcPr>
            <w:tcW w:w="2906" w:type="dxa"/>
            <w:tcFitText/>
          </w:tcPr>
          <w:p w:rsidR="00CD63DE" w:rsidRDefault="00CD63DE">
            <w:pPr>
              <w:spacing w:line="560" w:lineRule="exact"/>
              <w:ind w:rightChars="101" w:right="212" w:firstLineChars="62" w:firstLine="117"/>
              <w:jc w:val="distribute"/>
              <w:rPr>
                <w:rFonts w:ascii="仿宋_GB2312" w:eastAsia="仿宋_GB2312"/>
                <w:spacing w:val="5"/>
                <w:w w:val="60"/>
                <w:kern w:val="0"/>
                <w:sz w:val="30"/>
                <w:szCs w:val="30"/>
              </w:rPr>
            </w:pPr>
          </w:p>
        </w:tc>
      </w:tr>
      <w:tr w:rsidR="00CD63DE">
        <w:trPr>
          <w:jc w:val="center"/>
        </w:trPr>
        <w:tc>
          <w:tcPr>
            <w:tcW w:w="2905" w:type="dxa"/>
            <w:tcFitText/>
          </w:tcPr>
          <w:p w:rsidR="00CD63DE" w:rsidRDefault="00CD63DE" w:rsidP="007844A1">
            <w:pPr>
              <w:spacing w:line="560" w:lineRule="exact"/>
              <w:ind w:rightChars="101" w:right="212" w:firstLineChars="62" w:firstLine="121"/>
              <w:jc w:val="distribute"/>
              <w:rPr>
                <w:rFonts w:ascii="仿宋_GB2312" w:eastAsia="仿宋_GB2312"/>
                <w:spacing w:val="6"/>
                <w:w w:val="61"/>
                <w:kern w:val="0"/>
                <w:sz w:val="30"/>
                <w:szCs w:val="30"/>
              </w:rPr>
            </w:pPr>
          </w:p>
        </w:tc>
        <w:tc>
          <w:tcPr>
            <w:tcW w:w="2905" w:type="dxa"/>
            <w:tcFitText/>
          </w:tcPr>
          <w:p w:rsidR="00CD63DE" w:rsidRDefault="00CD63DE">
            <w:pPr>
              <w:spacing w:line="560" w:lineRule="exact"/>
              <w:ind w:rightChars="101" w:right="212" w:firstLineChars="62" w:firstLine="223"/>
              <w:jc w:val="distribute"/>
              <w:rPr>
                <w:rFonts w:ascii="仿宋_GB2312" w:eastAsia="仿宋_GB2312"/>
                <w:spacing w:val="30"/>
                <w:kern w:val="0"/>
                <w:sz w:val="30"/>
                <w:szCs w:val="30"/>
              </w:rPr>
            </w:pPr>
          </w:p>
        </w:tc>
        <w:tc>
          <w:tcPr>
            <w:tcW w:w="2906" w:type="dxa"/>
            <w:tcFitText/>
          </w:tcPr>
          <w:p w:rsidR="00CD63DE" w:rsidRDefault="00CD63DE">
            <w:pPr>
              <w:spacing w:line="560" w:lineRule="exact"/>
              <w:ind w:rightChars="101" w:right="212" w:firstLineChars="62" w:firstLine="117"/>
              <w:jc w:val="distribute"/>
              <w:rPr>
                <w:rFonts w:ascii="仿宋_GB2312" w:eastAsia="仿宋_GB2312"/>
                <w:spacing w:val="5"/>
                <w:w w:val="60"/>
                <w:kern w:val="0"/>
                <w:sz w:val="30"/>
                <w:szCs w:val="30"/>
              </w:rPr>
            </w:pPr>
          </w:p>
        </w:tc>
      </w:tr>
    </w:tbl>
    <w:p w:rsidR="00CD63DE" w:rsidRDefault="00CD63DE">
      <w:pPr>
        <w:rPr>
          <w:rFonts w:ascii="仿宋_GB2312" w:eastAsia="仿宋_GB2312"/>
          <w:sz w:val="30"/>
          <w:szCs w:val="30"/>
        </w:rPr>
      </w:pPr>
    </w:p>
    <w:p w:rsidR="00CD63DE" w:rsidRDefault="00CD63DE">
      <w:pPr>
        <w:rPr>
          <w:rFonts w:ascii="仿宋_GB2312" w:eastAsia="仿宋_GB2312"/>
          <w:sz w:val="30"/>
          <w:szCs w:val="30"/>
        </w:rPr>
      </w:pPr>
    </w:p>
    <w:p w:rsidR="00CD63DE" w:rsidRDefault="00CD63DE">
      <w:pPr>
        <w:rPr>
          <w:rFonts w:ascii="仿宋_GB2312" w:eastAsia="仿宋_GB2312"/>
          <w:sz w:val="30"/>
          <w:szCs w:val="30"/>
        </w:rPr>
      </w:pPr>
    </w:p>
    <w:p w:rsidR="00CD63DE" w:rsidRDefault="00CD63DE">
      <w:pPr>
        <w:rPr>
          <w:rFonts w:ascii="仿宋_GB2312" w:eastAsia="仿宋_GB2312"/>
          <w:sz w:val="30"/>
          <w:szCs w:val="30"/>
        </w:rPr>
      </w:pPr>
    </w:p>
    <w:p w:rsidR="00CD63DE" w:rsidRDefault="00CD63DE">
      <w:pPr>
        <w:rPr>
          <w:rFonts w:ascii="仿宋_GB2312" w:eastAsia="仿宋_GB2312"/>
          <w:sz w:val="30"/>
          <w:szCs w:val="30"/>
        </w:rPr>
      </w:pPr>
    </w:p>
    <w:p w:rsidR="00CD63DE" w:rsidRDefault="00CD63DE">
      <w:pPr>
        <w:rPr>
          <w:rFonts w:ascii="仿宋_GB2312" w:eastAsia="仿宋_GB2312"/>
          <w:sz w:val="30"/>
          <w:szCs w:val="30"/>
        </w:rPr>
      </w:pPr>
    </w:p>
    <w:p w:rsidR="00CD63DE" w:rsidRDefault="00CD63DE">
      <w:pPr>
        <w:rPr>
          <w:rFonts w:ascii="仿宋_GB2312" w:eastAsia="仿宋_GB2312"/>
          <w:sz w:val="30"/>
          <w:szCs w:val="30"/>
        </w:rPr>
      </w:pPr>
    </w:p>
    <w:tbl>
      <w:tblPr>
        <w:tblW w:w="9776" w:type="dxa"/>
        <w:jc w:val="center"/>
        <w:tblLook w:val="04A0"/>
      </w:tblPr>
      <w:tblGrid>
        <w:gridCol w:w="1220"/>
        <w:gridCol w:w="1960"/>
        <w:gridCol w:w="2140"/>
        <w:gridCol w:w="2060"/>
        <w:gridCol w:w="2396"/>
      </w:tblGrid>
      <w:tr w:rsidR="00CD63DE">
        <w:trPr>
          <w:trHeight w:hRule="exact" w:val="2040"/>
          <w:jc w:val="center"/>
        </w:trPr>
        <w:tc>
          <w:tcPr>
            <w:tcW w:w="97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D63DE" w:rsidRDefault="00615A3D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附件</w:t>
            </w:r>
          </w:p>
          <w:p w:rsidR="00CD63DE" w:rsidRDefault="00615A3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8"/>
                <w:szCs w:val="38"/>
              </w:rPr>
              <w:t>2024年各区教育经费执行情况统计表</w:t>
            </w:r>
          </w:p>
        </w:tc>
      </w:tr>
      <w:tr w:rsidR="00CD63DE">
        <w:trPr>
          <w:trHeight w:hRule="exact" w:val="745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DE" w:rsidRDefault="00615A3D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地区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DE" w:rsidRDefault="00615A3D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一般公共预算教育经费（万元）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DE" w:rsidRDefault="00615A3D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一般公共预算教育经费比上年增长（%）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DE" w:rsidRDefault="00615A3D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生均一般公共预算教育经费（元）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DE" w:rsidRDefault="00615A3D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生均一般公共预算教育经费比上年增长（%）</w:t>
            </w:r>
          </w:p>
        </w:tc>
      </w:tr>
      <w:tr w:rsidR="00CD63DE">
        <w:trPr>
          <w:trHeight w:hRule="exact" w:val="51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3DE" w:rsidRDefault="00615A3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黄浦区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3DE" w:rsidRDefault="00615A3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400,283.10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3DE" w:rsidRDefault="00615A3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0.02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3DE" w:rsidRDefault="00615A3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63,536.92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3DE" w:rsidRDefault="00615A3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1.21</w:t>
            </w:r>
          </w:p>
        </w:tc>
      </w:tr>
      <w:tr w:rsidR="00CD63DE">
        <w:trPr>
          <w:trHeight w:hRule="exact" w:val="51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3DE" w:rsidRDefault="00615A3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徐汇区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3DE" w:rsidRDefault="00615A3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475,573.53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3DE" w:rsidRDefault="00615A3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2.79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3DE" w:rsidRDefault="00615A3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39,382.35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3DE" w:rsidRDefault="00615A3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1.60</w:t>
            </w:r>
          </w:p>
        </w:tc>
      </w:tr>
      <w:tr w:rsidR="00CD63DE">
        <w:trPr>
          <w:trHeight w:hRule="exact" w:val="51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3DE" w:rsidRDefault="00615A3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长宁区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3DE" w:rsidRDefault="00615A3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249,338.05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3DE" w:rsidRDefault="00615A3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0.71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3DE" w:rsidRDefault="00615A3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43,228.61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3DE" w:rsidRDefault="00615A3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1.41</w:t>
            </w:r>
          </w:p>
        </w:tc>
      </w:tr>
      <w:tr w:rsidR="00CD63DE">
        <w:trPr>
          <w:trHeight w:hRule="exact" w:val="51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3DE" w:rsidRDefault="00615A3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静安区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3DE" w:rsidRDefault="00615A3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493,702.21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3DE" w:rsidRDefault="00615A3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1.04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3DE" w:rsidRDefault="00615A3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47,346.11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3DE" w:rsidRDefault="00615A3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0.95</w:t>
            </w:r>
          </w:p>
        </w:tc>
      </w:tr>
      <w:tr w:rsidR="00CD63DE">
        <w:trPr>
          <w:trHeight w:hRule="exact" w:val="51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3DE" w:rsidRDefault="00615A3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普陀区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3DE" w:rsidRDefault="00615A3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391,550.83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3DE" w:rsidRDefault="00615A3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5.95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3DE" w:rsidRDefault="00615A3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36,923.24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3DE" w:rsidRDefault="00615A3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0.27</w:t>
            </w:r>
          </w:p>
        </w:tc>
      </w:tr>
      <w:tr w:rsidR="00CD63DE">
        <w:trPr>
          <w:trHeight w:hRule="exact" w:val="51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3DE" w:rsidRDefault="00615A3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虹口区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3DE" w:rsidRDefault="00615A3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404,363.47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3DE" w:rsidRDefault="00615A3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0.31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3DE" w:rsidRDefault="00615A3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70,675.54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3DE" w:rsidRDefault="00615A3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-0.50</w:t>
            </w:r>
          </w:p>
        </w:tc>
      </w:tr>
      <w:tr w:rsidR="00CD63DE">
        <w:trPr>
          <w:trHeight w:hRule="exact" w:val="51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3DE" w:rsidRDefault="00615A3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杨浦区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3DE" w:rsidRDefault="00615A3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437,680.40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3DE" w:rsidRDefault="00615A3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2.78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3DE" w:rsidRDefault="00615A3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45,679.70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3DE" w:rsidRDefault="00615A3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1.83</w:t>
            </w:r>
          </w:p>
        </w:tc>
      </w:tr>
      <w:tr w:rsidR="00CD63DE">
        <w:trPr>
          <w:trHeight w:hRule="exact" w:val="51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3DE" w:rsidRDefault="00615A3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闵行区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3DE" w:rsidRDefault="00615A3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794,313.54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3DE" w:rsidRDefault="00615A3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7.05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3DE" w:rsidRDefault="00615A3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34,602.49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3DE" w:rsidRDefault="00615A3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2.59</w:t>
            </w:r>
          </w:p>
        </w:tc>
      </w:tr>
      <w:tr w:rsidR="00CD63DE">
        <w:trPr>
          <w:trHeight w:hRule="exact" w:val="51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3DE" w:rsidRDefault="00615A3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宝山区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3DE" w:rsidRDefault="00615A3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552,013.80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3DE" w:rsidRDefault="00615A3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3.99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3DE" w:rsidRDefault="00615A3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31,844.10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3DE" w:rsidRDefault="00615A3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1.26</w:t>
            </w:r>
          </w:p>
        </w:tc>
      </w:tr>
      <w:tr w:rsidR="00CD63DE">
        <w:trPr>
          <w:trHeight w:hRule="exact" w:val="51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3DE" w:rsidRDefault="00615A3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嘉定区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3DE" w:rsidRDefault="00615A3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529,171.55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3DE" w:rsidRDefault="00615A3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3.28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3DE" w:rsidRDefault="00615A3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35,256.43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3DE" w:rsidRDefault="00615A3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-1.00</w:t>
            </w:r>
          </w:p>
        </w:tc>
      </w:tr>
      <w:tr w:rsidR="00CD63DE">
        <w:trPr>
          <w:trHeight w:hRule="exact" w:val="51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3DE" w:rsidRDefault="00615A3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浦东新区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3DE" w:rsidRDefault="00615A3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1,913,629.02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3DE" w:rsidRDefault="00615A3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1.08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3DE" w:rsidRDefault="00615A3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36,454.51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3DE" w:rsidRDefault="00615A3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-0.74</w:t>
            </w:r>
          </w:p>
        </w:tc>
      </w:tr>
      <w:tr w:rsidR="00CD63DE">
        <w:trPr>
          <w:trHeight w:hRule="exact" w:val="51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3DE" w:rsidRDefault="00615A3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金山区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3DE" w:rsidRDefault="00615A3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319,929.04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3DE" w:rsidRDefault="00615A3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5.42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3DE" w:rsidRDefault="00615A3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43,901.54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3DE" w:rsidRDefault="00615A3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4.85</w:t>
            </w:r>
          </w:p>
        </w:tc>
      </w:tr>
      <w:tr w:rsidR="00CD63DE">
        <w:trPr>
          <w:trHeight w:hRule="exact" w:val="51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3DE" w:rsidRDefault="00615A3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松江区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3DE" w:rsidRDefault="00615A3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562,988.49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3DE" w:rsidRDefault="00615A3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1.02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3DE" w:rsidRDefault="00615A3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33,888.17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3DE" w:rsidRDefault="00615A3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-3.27</w:t>
            </w:r>
          </w:p>
        </w:tc>
      </w:tr>
      <w:tr w:rsidR="00CD63DE">
        <w:trPr>
          <w:trHeight w:hRule="exact" w:val="51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3DE" w:rsidRDefault="00615A3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青浦区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3DE" w:rsidRDefault="00615A3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357,609.39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3DE" w:rsidRDefault="00615A3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0.19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3DE" w:rsidRDefault="00615A3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35,896.74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3DE" w:rsidRDefault="00615A3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-4.79</w:t>
            </w:r>
          </w:p>
        </w:tc>
      </w:tr>
      <w:tr w:rsidR="00CD63DE">
        <w:trPr>
          <w:trHeight w:hRule="exact" w:val="51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3DE" w:rsidRDefault="00615A3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奉贤区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3DE" w:rsidRDefault="00615A3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402,252.24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3DE" w:rsidRDefault="00615A3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3.43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3DE" w:rsidRDefault="00615A3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40,776.55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3DE" w:rsidRDefault="00615A3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-0.22</w:t>
            </w:r>
          </w:p>
        </w:tc>
      </w:tr>
      <w:tr w:rsidR="00CD63DE">
        <w:trPr>
          <w:trHeight w:hRule="exact" w:val="51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3DE" w:rsidRDefault="00615A3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崇明区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3DE" w:rsidRDefault="00615A3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237,711.75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3DE" w:rsidRDefault="00615A3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0.52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3DE" w:rsidRDefault="00615A3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54,966.39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3DE" w:rsidRDefault="00615A3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1.89</w:t>
            </w:r>
          </w:p>
        </w:tc>
      </w:tr>
    </w:tbl>
    <w:p w:rsidR="00CD63DE" w:rsidRDefault="00CD63DE" w:rsidP="003B21EF">
      <w:pPr>
        <w:spacing w:line="560" w:lineRule="exact"/>
        <w:jc w:val="left"/>
        <w:rPr>
          <w:rFonts w:ascii="仿宋_GB2312" w:eastAsia="仿宋_GB2312"/>
          <w:sz w:val="30"/>
          <w:szCs w:val="30"/>
        </w:rPr>
      </w:pPr>
    </w:p>
    <w:p w:rsidR="00CD63DE" w:rsidRDefault="00CD63DE"/>
    <w:p w:rsidR="00CD63DE" w:rsidRDefault="00CD63DE">
      <w:pPr>
        <w:spacing w:line="560" w:lineRule="exact"/>
        <w:rPr>
          <w:rFonts w:ascii="仿宋_GB2312" w:eastAsia="仿宋_GB2312"/>
          <w:sz w:val="30"/>
          <w:szCs w:val="30"/>
        </w:rPr>
      </w:pPr>
    </w:p>
    <w:p w:rsidR="00CD63DE" w:rsidRDefault="00CD63DE">
      <w:pPr>
        <w:spacing w:line="560" w:lineRule="exact"/>
        <w:rPr>
          <w:rFonts w:ascii="仿宋_GB2312" w:eastAsia="仿宋_GB2312"/>
          <w:sz w:val="32"/>
        </w:rPr>
        <w:sectPr w:rsidR="00CD63DE">
          <w:footerReference w:type="even" r:id="rId6"/>
          <w:footerReference w:type="default" r:id="rId7"/>
          <w:pgSz w:w="11906" w:h="16838"/>
          <w:pgMar w:top="2098" w:right="1508" w:bottom="2098" w:left="1520" w:header="851" w:footer="1814" w:gutter="57"/>
          <w:cols w:space="425"/>
          <w:docGrid w:type="lines" w:linePitch="312"/>
        </w:sectPr>
      </w:pPr>
    </w:p>
    <w:p w:rsidR="00CD63DE" w:rsidRDefault="00CD63DE">
      <w:pPr>
        <w:spacing w:line="560" w:lineRule="exact"/>
        <w:rPr>
          <w:rFonts w:ascii="仿宋_GB2312" w:eastAsia="仿宋_GB2312"/>
          <w:sz w:val="32"/>
        </w:rPr>
      </w:pPr>
    </w:p>
    <w:p w:rsidR="00CD63DE" w:rsidRDefault="00CD63DE">
      <w:pPr>
        <w:spacing w:line="20" w:lineRule="exact"/>
      </w:pPr>
    </w:p>
    <w:p w:rsidR="00CD63DE" w:rsidRDefault="00CD63DE">
      <w:pPr>
        <w:spacing w:line="560" w:lineRule="exact"/>
        <w:rPr>
          <w:rFonts w:ascii="仿宋_GB2312" w:eastAsia="仿宋_GB2312"/>
          <w:sz w:val="32"/>
        </w:rPr>
      </w:pPr>
    </w:p>
    <w:p w:rsidR="00CD63DE" w:rsidRDefault="00CD63DE" w:rsidP="00687F08">
      <w:pPr>
        <w:spacing w:line="560" w:lineRule="exact"/>
        <w:rPr>
          <w:rFonts w:ascii="仿宋_GB2312" w:eastAsia="仿宋_GB2312"/>
          <w:sz w:val="32"/>
        </w:rPr>
      </w:pPr>
    </w:p>
    <w:p w:rsidR="00CD63DE" w:rsidRDefault="00CD63DE" w:rsidP="00687F08">
      <w:pPr>
        <w:spacing w:line="560" w:lineRule="exact"/>
        <w:rPr>
          <w:rFonts w:ascii="仿宋_GB2312" w:eastAsia="仿宋_GB2312"/>
          <w:sz w:val="32"/>
        </w:rPr>
      </w:pPr>
    </w:p>
    <w:p w:rsidR="00CD63DE" w:rsidRDefault="00CD63DE">
      <w:pPr>
        <w:spacing w:line="560" w:lineRule="exact"/>
        <w:rPr>
          <w:rFonts w:ascii="黑体" w:eastAsia="黑体"/>
          <w:sz w:val="32"/>
        </w:rPr>
      </w:pPr>
    </w:p>
    <w:p w:rsidR="00CD63DE" w:rsidRDefault="00CD63DE">
      <w:pPr>
        <w:spacing w:line="560" w:lineRule="exact"/>
        <w:rPr>
          <w:rFonts w:ascii="黑体" w:eastAsia="黑体"/>
          <w:sz w:val="32"/>
        </w:rPr>
      </w:pPr>
    </w:p>
    <w:p w:rsidR="00CD63DE" w:rsidRDefault="00CD63DE">
      <w:pPr>
        <w:spacing w:line="560" w:lineRule="exact"/>
        <w:rPr>
          <w:rFonts w:ascii="黑体" w:eastAsia="黑体"/>
          <w:sz w:val="32"/>
        </w:rPr>
      </w:pPr>
    </w:p>
    <w:p w:rsidR="00CD63DE" w:rsidRDefault="00CD63DE">
      <w:pPr>
        <w:spacing w:line="560" w:lineRule="exact"/>
        <w:rPr>
          <w:rFonts w:ascii="黑体" w:eastAsia="黑体"/>
          <w:sz w:val="32"/>
        </w:rPr>
      </w:pPr>
    </w:p>
    <w:p w:rsidR="00CD63DE" w:rsidRDefault="00CD63DE">
      <w:pPr>
        <w:spacing w:line="560" w:lineRule="exact"/>
        <w:rPr>
          <w:rFonts w:ascii="黑体" w:eastAsia="黑体"/>
          <w:sz w:val="32"/>
        </w:rPr>
      </w:pPr>
    </w:p>
    <w:p w:rsidR="00CD63DE" w:rsidRDefault="00CD63DE">
      <w:pPr>
        <w:spacing w:line="560" w:lineRule="exact"/>
        <w:rPr>
          <w:rFonts w:ascii="黑体" w:eastAsia="黑体"/>
          <w:sz w:val="32"/>
        </w:rPr>
      </w:pPr>
    </w:p>
    <w:p w:rsidR="00CD63DE" w:rsidRDefault="00CD63DE">
      <w:pPr>
        <w:spacing w:line="560" w:lineRule="exact"/>
        <w:rPr>
          <w:rFonts w:ascii="黑体" w:eastAsia="黑体"/>
          <w:sz w:val="32"/>
        </w:rPr>
      </w:pPr>
    </w:p>
    <w:p w:rsidR="00CD63DE" w:rsidRDefault="00CD63DE">
      <w:pPr>
        <w:spacing w:line="560" w:lineRule="exact"/>
        <w:rPr>
          <w:rFonts w:ascii="黑体" w:eastAsia="黑体"/>
          <w:sz w:val="32"/>
        </w:rPr>
      </w:pPr>
    </w:p>
    <w:p w:rsidR="00CD63DE" w:rsidRDefault="00CD63DE">
      <w:pPr>
        <w:spacing w:line="560" w:lineRule="exact"/>
        <w:rPr>
          <w:rFonts w:ascii="黑体" w:eastAsia="黑体"/>
          <w:sz w:val="32"/>
        </w:rPr>
      </w:pPr>
    </w:p>
    <w:p w:rsidR="00CD63DE" w:rsidRDefault="00CD63DE">
      <w:pPr>
        <w:spacing w:line="560" w:lineRule="exact"/>
        <w:rPr>
          <w:rFonts w:ascii="黑体" w:eastAsia="黑体"/>
          <w:sz w:val="32"/>
        </w:rPr>
      </w:pPr>
    </w:p>
    <w:p w:rsidR="00CD63DE" w:rsidRDefault="00CD63DE">
      <w:pPr>
        <w:spacing w:line="560" w:lineRule="exact"/>
        <w:rPr>
          <w:rFonts w:ascii="黑体" w:eastAsia="黑体"/>
          <w:sz w:val="32"/>
        </w:rPr>
      </w:pPr>
    </w:p>
    <w:p w:rsidR="00CD63DE" w:rsidRDefault="00CD63DE">
      <w:pPr>
        <w:spacing w:line="560" w:lineRule="exact"/>
        <w:rPr>
          <w:rFonts w:ascii="黑体" w:eastAsia="黑体"/>
          <w:sz w:val="32"/>
        </w:rPr>
      </w:pPr>
    </w:p>
    <w:p w:rsidR="00CD63DE" w:rsidRDefault="00CD63DE">
      <w:pPr>
        <w:spacing w:line="560" w:lineRule="exact"/>
        <w:rPr>
          <w:rFonts w:ascii="黑体" w:eastAsia="黑体"/>
          <w:sz w:val="32"/>
        </w:rPr>
      </w:pPr>
    </w:p>
    <w:p w:rsidR="00CD63DE" w:rsidRDefault="00CD63DE">
      <w:pPr>
        <w:spacing w:line="560" w:lineRule="exact"/>
        <w:rPr>
          <w:rFonts w:ascii="黑体" w:eastAsia="黑体"/>
          <w:sz w:val="32"/>
        </w:rPr>
      </w:pPr>
    </w:p>
    <w:p w:rsidR="00CD63DE" w:rsidRDefault="00CD63DE">
      <w:pPr>
        <w:spacing w:line="560" w:lineRule="exact"/>
        <w:rPr>
          <w:rFonts w:ascii="黑体" w:eastAsia="黑体"/>
          <w:sz w:val="32"/>
        </w:rPr>
      </w:pPr>
    </w:p>
    <w:p w:rsidR="00CD63DE" w:rsidRDefault="00CD63DE">
      <w:pPr>
        <w:spacing w:line="560" w:lineRule="exact"/>
        <w:rPr>
          <w:rFonts w:ascii="黑体" w:eastAsia="黑体"/>
          <w:sz w:val="32"/>
        </w:rPr>
      </w:pPr>
    </w:p>
    <w:tbl>
      <w:tblPr>
        <w:tblpPr w:leftFromText="180" w:rightFromText="180" w:vertAnchor="text" w:horzAnchor="margin" w:tblpY="8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48"/>
        <w:gridCol w:w="4500"/>
        <w:gridCol w:w="289"/>
      </w:tblGrid>
      <w:tr w:rsidR="00CD63DE">
        <w:tc>
          <w:tcPr>
            <w:tcW w:w="424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CD63DE" w:rsidRDefault="00615A3D">
            <w:pPr>
              <w:spacing w:line="560" w:lineRule="exact"/>
              <w:ind w:firstLineChars="100" w:firstLine="280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上海市教育委员会办公室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CD63DE" w:rsidRDefault="00615A3D">
            <w:pPr>
              <w:spacing w:line="560" w:lineRule="exact"/>
              <w:jc w:val="right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2026年2月10日印发</w:t>
            </w:r>
          </w:p>
        </w:tc>
        <w:tc>
          <w:tcPr>
            <w:tcW w:w="28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CD63DE" w:rsidRDefault="00CD63DE">
            <w:pPr>
              <w:spacing w:line="560" w:lineRule="exact"/>
              <w:ind w:rightChars="171" w:right="359"/>
              <w:jc w:val="right"/>
              <w:rPr>
                <w:rFonts w:ascii="黑体" w:eastAsia="黑体"/>
                <w:sz w:val="28"/>
                <w:szCs w:val="28"/>
              </w:rPr>
            </w:pPr>
          </w:p>
        </w:tc>
      </w:tr>
    </w:tbl>
    <w:p w:rsidR="00CD63DE" w:rsidRDefault="00CD63DE" w:rsidP="00E91304">
      <w:pPr>
        <w:spacing w:line="560" w:lineRule="exact"/>
        <w:jc w:val="left"/>
        <w:rPr>
          <w:sz w:val="28"/>
          <w:szCs w:val="28"/>
        </w:rPr>
      </w:pPr>
    </w:p>
    <w:sectPr w:rsidR="00CD63DE" w:rsidSect="00CD63DE">
      <w:footerReference w:type="default" r:id="rId8"/>
      <w:pgSz w:w="11906" w:h="16838"/>
      <w:pgMar w:top="2098" w:right="1508" w:bottom="2098" w:left="1520" w:header="851" w:footer="1814" w:gutter="57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1BA1" w:rsidRDefault="00331BA1" w:rsidP="00CD63DE">
      <w:r>
        <w:separator/>
      </w:r>
    </w:p>
  </w:endnote>
  <w:endnote w:type="continuationSeparator" w:id="0">
    <w:p w:rsidR="00331BA1" w:rsidRDefault="00331BA1" w:rsidP="00CD63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3DE" w:rsidRDefault="003A5D77">
    <w:pPr>
      <w:pStyle w:val="a3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 w:rsidR="00615A3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15A3D">
      <w:rPr>
        <w:rStyle w:val="a6"/>
      </w:rPr>
      <w:t>1</w:t>
    </w:r>
    <w:r>
      <w:rPr>
        <w:rStyle w:val="a6"/>
      </w:rPr>
      <w:fldChar w:fldCharType="end"/>
    </w:r>
  </w:p>
  <w:p w:rsidR="00CD63DE" w:rsidRDefault="00CD63DE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3DE" w:rsidRDefault="00615A3D">
    <w:pPr>
      <w:pStyle w:val="a3"/>
      <w:framePr w:wrap="around" w:vAnchor="text" w:hAnchor="margin" w:xAlign="outside" w:y="1"/>
      <w:ind w:leftChars="200" w:left="420" w:rightChars="200" w:right="420"/>
      <w:rPr>
        <w:rStyle w:val="a6"/>
        <w:rFonts w:ascii="宋体" w:hAnsi="宋体"/>
        <w:sz w:val="28"/>
      </w:rPr>
    </w:pPr>
    <w:r>
      <w:rPr>
        <w:rStyle w:val="a6"/>
        <w:rFonts w:ascii="宋体" w:hAnsi="宋体" w:hint="eastAsia"/>
        <w:sz w:val="28"/>
      </w:rPr>
      <w:t xml:space="preserve">—  </w:t>
    </w:r>
    <w:r w:rsidR="003A5D77">
      <w:rPr>
        <w:rStyle w:val="a6"/>
        <w:rFonts w:ascii="宋体" w:hAnsi="宋体"/>
        <w:sz w:val="28"/>
      </w:rPr>
      <w:fldChar w:fldCharType="begin"/>
    </w:r>
    <w:r>
      <w:rPr>
        <w:rStyle w:val="a6"/>
        <w:rFonts w:ascii="宋体" w:hAnsi="宋体"/>
        <w:sz w:val="28"/>
      </w:rPr>
      <w:instrText xml:space="preserve">PAGE  </w:instrText>
    </w:r>
    <w:r w:rsidR="003A5D77">
      <w:rPr>
        <w:rStyle w:val="a6"/>
        <w:rFonts w:ascii="宋体" w:hAnsi="宋体"/>
        <w:sz w:val="28"/>
      </w:rPr>
      <w:fldChar w:fldCharType="separate"/>
    </w:r>
    <w:r w:rsidR="00331BA1">
      <w:rPr>
        <w:rStyle w:val="a6"/>
        <w:rFonts w:ascii="宋体" w:hAnsi="宋体"/>
        <w:noProof/>
        <w:sz w:val="28"/>
      </w:rPr>
      <w:t>1</w:t>
    </w:r>
    <w:r w:rsidR="003A5D77">
      <w:rPr>
        <w:rStyle w:val="a6"/>
        <w:rFonts w:ascii="宋体" w:hAnsi="宋体"/>
        <w:sz w:val="28"/>
      </w:rPr>
      <w:fldChar w:fldCharType="end"/>
    </w:r>
    <w:r>
      <w:rPr>
        <w:rStyle w:val="a6"/>
        <w:rFonts w:ascii="宋体" w:hAnsi="宋体" w:hint="eastAsia"/>
        <w:sz w:val="28"/>
      </w:rPr>
      <w:t xml:space="preserve">  —</w:t>
    </w:r>
  </w:p>
  <w:p w:rsidR="00CD63DE" w:rsidRDefault="00CD63DE">
    <w:pPr>
      <w:pStyle w:val="a3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3DE" w:rsidRDefault="00CD63DE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1BA1" w:rsidRDefault="00331BA1" w:rsidP="00CD63DE">
      <w:r>
        <w:separator/>
      </w:r>
    </w:p>
  </w:footnote>
  <w:footnote w:type="continuationSeparator" w:id="0">
    <w:p w:rsidR="00331BA1" w:rsidRDefault="00331BA1" w:rsidP="00CD63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EFF373A"/>
    <w:rsid w:val="000536AB"/>
    <w:rsid w:val="0007124C"/>
    <w:rsid w:val="00093B78"/>
    <w:rsid w:val="001D0A52"/>
    <w:rsid w:val="00324D46"/>
    <w:rsid w:val="00331BA1"/>
    <w:rsid w:val="003619EF"/>
    <w:rsid w:val="003A17CC"/>
    <w:rsid w:val="003A5D77"/>
    <w:rsid w:val="003B21EF"/>
    <w:rsid w:val="003B426C"/>
    <w:rsid w:val="003D499D"/>
    <w:rsid w:val="003E51D9"/>
    <w:rsid w:val="00403442"/>
    <w:rsid w:val="004615F6"/>
    <w:rsid w:val="004631E0"/>
    <w:rsid w:val="00477AB4"/>
    <w:rsid w:val="00492EF2"/>
    <w:rsid w:val="00494616"/>
    <w:rsid w:val="004C6916"/>
    <w:rsid w:val="00520166"/>
    <w:rsid w:val="00586AE0"/>
    <w:rsid w:val="00592D2D"/>
    <w:rsid w:val="00597F85"/>
    <w:rsid w:val="00615A3D"/>
    <w:rsid w:val="00634633"/>
    <w:rsid w:val="00667D7B"/>
    <w:rsid w:val="00687F08"/>
    <w:rsid w:val="006A494C"/>
    <w:rsid w:val="00737947"/>
    <w:rsid w:val="007844A1"/>
    <w:rsid w:val="007E4CE6"/>
    <w:rsid w:val="007F363D"/>
    <w:rsid w:val="007F6980"/>
    <w:rsid w:val="00842D7B"/>
    <w:rsid w:val="00880E1D"/>
    <w:rsid w:val="009033AE"/>
    <w:rsid w:val="00914460"/>
    <w:rsid w:val="0098148B"/>
    <w:rsid w:val="00995D9A"/>
    <w:rsid w:val="00A33F79"/>
    <w:rsid w:val="00A504DD"/>
    <w:rsid w:val="00A917DD"/>
    <w:rsid w:val="00B011DB"/>
    <w:rsid w:val="00B04D10"/>
    <w:rsid w:val="00B503D6"/>
    <w:rsid w:val="00C16335"/>
    <w:rsid w:val="00C35B63"/>
    <w:rsid w:val="00C91E1C"/>
    <w:rsid w:val="00CA310F"/>
    <w:rsid w:val="00CD2E12"/>
    <w:rsid w:val="00CD63DE"/>
    <w:rsid w:val="00CD6C31"/>
    <w:rsid w:val="00D03CB3"/>
    <w:rsid w:val="00D45D5D"/>
    <w:rsid w:val="00E90808"/>
    <w:rsid w:val="00E91304"/>
    <w:rsid w:val="00F95245"/>
    <w:rsid w:val="00FE75B7"/>
    <w:rsid w:val="00FF7AA1"/>
    <w:rsid w:val="7EFF3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3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CD63DE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a4">
    <w:name w:val="header"/>
    <w:basedOn w:val="a"/>
    <w:qFormat/>
    <w:rsid w:val="00CD63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CD63D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  <w:rsid w:val="00CD63D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jw3218\Desktop\&#27169;&#29256;26\&#27169;&#29256;26\&#32852;&#21512;&#21457;&#25991;&#65288;&#20116;&#37096;&#38376;&#65289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联合发文（五部门）</Template>
  <TotalTime>214</TotalTime>
  <Pages>4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 件</dc:title>
  <dc:creator>李倩</dc:creator>
  <cp:lastModifiedBy>刘瑜</cp:lastModifiedBy>
  <cp:revision>32</cp:revision>
  <cp:lastPrinted>2026-02-10T10:22:00Z</cp:lastPrinted>
  <dcterms:created xsi:type="dcterms:W3CDTF">2026-02-10T10:15:00Z</dcterms:created>
  <dcterms:modified xsi:type="dcterms:W3CDTF">2026-02-10T14:10:00Z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56871BB804687A44DE948A695C339937_41</vt:lpwstr>
  </property>
  <property fmtid="{D5CDD505-2E9C-101B-9397-08002B2CF9AE}" pid="3" name="KSOProductBuildVer">
    <vt:lpwstr>2052-12.1.2.23578</vt:lpwstr>
  </property>
</Properties>
</file>