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336" w:lineRule="auto"/>
        <w:rPr>
          <w:rFonts w:ascii="黑体" w:eastAsia="黑体"/>
          <w:szCs w:val="32"/>
        </w:rPr>
      </w:pPr>
    </w:p>
    <w:p>
      <w:pPr>
        <w:overflowPunct w:val="0"/>
        <w:adjustRightInd w:val="0"/>
        <w:snapToGrid w:val="0"/>
        <w:spacing w:line="336" w:lineRule="auto"/>
        <w:rPr>
          <w:rFonts w:ascii="黑体" w:eastAsia="黑体"/>
          <w:szCs w:val="32"/>
        </w:rPr>
      </w:pPr>
    </w:p>
    <w:p>
      <w:pPr>
        <w:overflowPunct w:val="0"/>
        <w:adjustRightInd w:val="0"/>
        <w:snapToGrid w:val="0"/>
        <w:spacing w:line="336" w:lineRule="auto"/>
        <w:rPr>
          <w:rFonts w:ascii="黑体" w:eastAsia="黑体"/>
          <w:szCs w:val="32"/>
        </w:rPr>
      </w:pPr>
    </w:p>
    <w:p>
      <w:pPr>
        <w:overflowPunct w:val="0"/>
        <w:adjustRightInd w:val="0"/>
        <w:snapToGrid w:val="0"/>
        <w:spacing w:line="100" w:lineRule="exact"/>
        <w:rPr>
          <w:rFonts w:ascii="黑体" w:eastAsia="黑体"/>
          <w:szCs w:val="32"/>
        </w:rPr>
      </w:pPr>
    </w:p>
    <w:p>
      <w:pPr>
        <w:overflowPunct w:val="0"/>
        <w:adjustRightInd w:val="0"/>
        <w:snapToGrid w:val="0"/>
        <w:ind w:left="-57"/>
        <w:jc w:val="center"/>
        <w:rPr>
          <w:rFonts w:ascii="方正小标宋简体" w:hAnsi="宋体" w:eastAsia="方正小标宋简体"/>
          <w:color w:val="FF0000"/>
          <w:sz w:val="72"/>
          <w:szCs w:val="72"/>
        </w:rPr>
      </w:pPr>
      <w:r>
        <w:rPr>
          <w:rFonts w:hint="eastAsia" w:ascii="方正小标宋简体" w:hAnsi="宋体" w:eastAsia="方正小标宋简体"/>
          <w:color w:val="FF0000"/>
          <w:sz w:val="72"/>
          <w:szCs w:val="72"/>
        </w:rPr>
        <w:t>上海市市场监督管理局文件</w:t>
      </w:r>
    </w:p>
    <w:p>
      <w:pPr>
        <w:tabs>
          <w:tab w:val="left" w:pos="790"/>
        </w:tabs>
        <w:overflowPunct w:val="0"/>
        <w:adjustRightInd w:val="0"/>
        <w:snapToGrid w:val="0"/>
        <w:spacing w:line="252" w:lineRule="auto"/>
        <w:jc w:val="center"/>
        <w:rPr>
          <w:rFonts w:ascii="黑体" w:eastAsia="黑体"/>
          <w:szCs w:val="32"/>
        </w:rPr>
      </w:pPr>
    </w:p>
    <w:p>
      <w:pPr>
        <w:tabs>
          <w:tab w:val="left" w:pos="790"/>
        </w:tabs>
        <w:overflowPunct w:val="0"/>
        <w:adjustRightInd w:val="0"/>
        <w:snapToGrid w:val="0"/>
        <w:spacing w:line="252" w:lineRule="auto"/>
        <w:jc w:val="center"/>
        <w:rPr>
          <w:rFonts w:ascii="黑体" w:eastAsia="黑体"/>
          <w:szCs w:val="32"/>
        </w:rPr>
      </w:pPr>
    </w:p>
    <w:p>
      <w:pPr>
        <w:tabs>
          <w:tab w:val="left" w:pos="790"/>
        </w:tabs>
        <w:overflowPunct w:val="0"/>
        <w:adjustRightInd w:val="0"/>
        <w:snapToGrid w:val="0"/>
        <w:spacing w:line="336" w:lineRule="auto"/>
        <w:jc w:val="center"/>
        <w:rPr>
          <w:szCs w:val="32"/>
        </w:rPr>
      </w:pPr>
      <w:r>
        <w:rPr>
          <w:szCs w:val="30"/>
        </w:rPr>
        <mc:AlternateContent>
          <mc:Choice Requires="wps">
            <w:drawing>
              <wp:anchor distT="0" distB="0" distL="114300" distR="114300" simplePos="0" relativeHeight="251658240" behindDoc="0" locked="1" layoutInCell="1" allowOverlap="1">
                <wp:simplePos x="0" y="0"/>
                <wp:positionH relativeFrom="column">
                  <wp:posOffset>635</wp:posOffset>
                </wp:positionH>
                <wp:positionV relativeFrom="paragraph">
                  <wp:posOffset>386080</wp:posOffset>
                </wp:positionV>
                <wp:extent cx="5615940" cy="0"/>
                <wp:effectExtent l="0" t="9525" r="3810" b="9525"/>
                <wp:wrapNone/>
                <wp:docPr id="1" name="直线 2"/>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wps:spPr>
                      <wps:bodyPr upright="true"/>
                    </wps:wsp>
                  </a:graphicData>
                </a:graphic>
              </wp:anchor>
            </w:drawing>
          </mc:Choice>
          <mc:Fallback>
            <w:pict>
              <v:line id="直线 2" o:spid="_x0000_s1026" o:spt="20" style="position:absolute;left:0pt;margin-left:0.05pt;margin-top:30.4pt;height:0pt;width:442.2pt;z-index:251658240;mso-width-relative:page;mso-height-relative:page;" filled="f" stroked="t" coordsize="21600,21600" o:gfxdata="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IgOgsDUAAAA&#10;BgEAAA8AAAAAAAAAAQAgAAAAOAAAAGRycy9kb3ducmV2LnhtbFBLAQIUABQAAAAIAIdO4kBlq/V9&#10;0gEAAJEDAAAOAAAAAAAAAAEAIAAAADkBAABkcnMvZTJvRG9jLnhtbFBLBQYAAAAABgAGAFkBAAB9&#10;BQAAAAA=&#10;">
                <v:fill on="f" focussize="0,0"/>
                <v:stroke weight="1.5pt" color="#FF0000" joinstyle="round"/>
                <v:imagedata o:title=""/>
                <o:lock v:ext="edit" aspectratio="f"/>
                <w10:anchorlock/>
              </v:line>
            </w:pict>
          </mc:Fallback>
        </mc:AlternateContent>
      </w:r>
      <w:r>
        <w:rPr>
          <w:rFonts w:hint="eastAsia"/>
          <w:szCs w:val="32"/>
        </w:rPr>
        <w:t>沪市监规范〔202</w:t>
      </w:r>
      <w:r>
        <w:rPr>
          <w:szCs w:val="32"/>
        </w:rPr>
        <w:t>2</w:t>
      </w:r>
      <w:r>
        <w:rPr>
          <w:rFonts w:hint="eastAsia"/>
          <w:szCs w:val="32"/>
        </w:rPr>
        <w:t>〕12号</w:t>
      </w:r>
    </w:p>
    <w:p>
      <w:pPr>
        <w:tabs>
          <w:tab w:val="left" w:pos="790"/>
        </w:tabs>
        <w:overflowPunct w:val="0"/>
        <w:adjustRightInd w:val="0"/>
        <w:snapToGrid w:val="0"/>
        <w:spacing w:line="336" w:lineRule="auto"/>
        <w:jc w:val="center"/>
        <w:rPr>
          <w:szCs w:val="30"/>
        </w:rPr>
      </w:pPr>
    </w:p>
    <w:p>
      <w:pPr>
        <w:tabs>
          <w:tab w:val="left" w:pos="790"/>
        </w:tabs>
        <w:overflowPunct w:val="0"/>
        <w:adjustRightInd w:val="0"/>
        <w:snapToGrid w:val="0"/>
        <w:spacing w:line="336" w:lineRule="auto"/>
        <w:jc w:val="center"/>
        <w:rPr>
          <w:szCs w:val="30"/>
        </w:rPr>
      </w:pPr>
    </w:p>
    <w:p>
      <w:pPr>
        <w:tabs>
          <w:tab w:val="left" w:pos="790"/>
        </w:tabs>
        <w:overflowPunct w:val="0"/>
        <w:adjustRightInd w:val="0"/>
        <w:snapToGrid w:val="0"/>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上海市市场监督管理局关于发布《上海市</w:t>
      </w:r>
    </w:p>
    <w:p>
      <w:pPr>
        <w:tabs>
          <w:tab w:val="left" w:pos="790"/>
        </w:tabs>
        <w:overflowPunct w:val="0"/>
        <w:adjustRightInd w:val="0"/>
        <w:snapToGrid w:val="0"/>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焙炒咖啡开放式生产许可审查细则》的通知</w:t>
      </w:r>
    </w:p>
    <w:p>
      <w:pPr>
        <w:tabs>
          <w:tab w:val="left" w:pos="790"/>
          <w:tab w:val="left" w:pos="1264"/>
        </w:tabs>
        <w:overflowPunct w:val="0"/>
        <w:adjustRightInd w:val="0"/>
        <w:snapToGrid w:val="0"/>
        <w:spacing w:line="288" w:lineRule="auto"/>
        <w:ind w:firstLine="624"/>
        <w:rPr>
          <w:rFonts w:hAnsi="宋体"/>
          <w:szCs w:val="30"/>
        </w:rPr>
      </w:pPr>
    </w:p>
    <w:p>
      <w:pPr>
        <w:tabs>
          <w:tab w:val="left" w:pos="790"/>
          <w:tab w:val="left" w:pos="1264"/>
        </w:tabs>
        <w:overflowPunct w:val="0"/>
        <w:adjustRightInd w:val="0"/>
        <w:snapToGrid w:val="0"/>
        <w:spacing w:line="288" w:lineRule="auto"/>
        <w:rPr>
          <w:rFonts w:hAnsi="宋体"/>
          <w:szCs w:val="30"/>
        </w:rPr>
      </w:pPr>
      <w:r>
        <w:rPr>
          <w:rFonts w:hint="eastAsia" w:hAnsi="宋体"/>
          <w:szCs w:val="30"/>
        </w:rPr>
        <w:t>各区市场监管局，</w:t>
      </w:r>
      <w:bookmarkStart w:id="3" w:name="_GoBack"/>
      <w:r>
        <w:rPr>
          <w:rFonts w:hint="eastAsia" w:hAnsi="宋体"/>
          <w:szCs w:val="30"/>
        </w:rPr>
        <w:t>临港新片区市场监管局，市局行政服务中心：</w:t>
      </w:r>
    </w:p>
    <w:p>
      <w:pPr>
        <w:tabs>
          <w:tab w:val="left" w:pos="790"/>
          <w:tab w:val="left" w:pos="1264"/>
        </w:tabs>
        <w:overflowPunct w:val="0"/>
        <w:adjustRightInd w:val="0"/>
        <w:snapToGrid w:val="0"/>
        <w:spacing w:line="288" w:lineRule="auto"/>
        <w:ind w:firstLine="624"/>
        <w:rPr>
          <w:rFonts w:hAnsi="宋体"/>
          <w:szCs w:val="30"/>
        </w:rPr>
      </w:pPr>
      <w:r>
        <w:rPr>
          <w:rFonts w:hint="eastAsia" w:hAnsi="宋体"/>
          <w:szCs w:val="30"/>
        </w:rPr>
        <w:t>《上海市焙炒咖啡开放式生产许可审查细则》已经2022年6月29日市局局长办公会审议通过，现予发布，自2022年8月18</w:t>
      </w:r>
      <w:bookmarkEnd w:id="3"/>
      <w:r>
        <w:rPr>
          <w:rFonts w:hint="eastAsia" w:hAnsi="宋体"/>
          <w:szCs w:val="30"/>
        </w:rPr>
        <w:t>日起施行，请遵照执行。</w:t>
      </w:r>
    </w:p>
    <w:p>
      <w:pPr>
        <w:tabs>
          <w:tab w:val="left" w:pos="790"/>
          <w:tab w:val="left" w:pos="1264"/>
        </w:tabs>
        <w:overflowPunct w:val="0"/>
        <w:adjustRightInd w:val="0"/>
        <w:snapToGrid w:val="0"/>
        <w:spacing w:line="288" w:lineRule="auto"/>
        <w:ind w:firstLine="624"/>
        <w:rPr>
          <w:rFonts w:hAnsi="宋体"/>
          <w:szCs w:val="30"/>
        </w:rPr>
      </w:pPr>
      <w:r>
        <w:rPr>
          <w:rFonts w:hint="eastAsia" w:hAnsi="宋体"/>
          <w:szCs w:val="30"/>
        </w:rPr>
        <w:t>特此通知。</w:t>
      </w:r>
    </w:p>
    <w:p>
      <w:pPr>
        <w:tabs>
          <w:tab w:val="left" w:pos="790"/>
          <w:tab w:val="left" w:pos="1264"/>
        </w:tabs>
        <w:overflowPunct w:val="0"/>
        <w:adjustRightInd w:val="0"/>
        <w:snapToGrid w:val="0"/>
        <w:spacing w:line="288" w:lineRule="auto"/>
        <w:ind w:firstLine="624"/>
        <w:rPr>
          <w:rFonts w:hAnsi="宋体"/>
          <w:szCs w:val="30"/>
        </w:rPr>
      </w:pPr>
    </w:p>
    <w:p>
      <w:pPr>
        <w:tabs>
          <w:tab w:val="left" w:pos="790"/>
          <w:tab w:val="left" w:pos="1264"/>
        </w:tabs>
        <w:overflowPunct w:val="0"/>
        <w:adjustRightInd w:val="0"/>
        <w:snapToGrid w:val="0"/>
        <w:spacing w:line="288" w:lineRule="auto"/>
        <w:ind w:firstLine="624"/>
        <w:rPr>
          <w:rFonts w:hAnsi="宋体"/>
          <w:szCs w:val="30"/>
        </w:rPr>
      </w:pPr>
    </w:p>
    <w:p>
      <w:pPr>
        <w:tabs>
          <w:tab w:val="left" w:pos="790"/>
          <w:tab w:val="left" w:pos="1264"/>
        </w:tabs>
        <w:overflowPunct w:val="0"/>
        <w:adjustRightInd w:val="0"/>
        <w:snapToGrid w:val="0"/>
        <w:spacing w:line="288" w:lineRule="auto"/>
        <w:ind w:firstLine="624"/>
        <w:rPr>
          <w:rFonts w:hAnsi="宋体"/>
          <w:szCs w:val="30"/>
        </w:rPr>
      </w:pPr>
    </w:p>
    <w:p>
      <w:pPr>
        <w:tabs>
          <w:tab w:val="left" w:pos="790"/>
          <w:tab w:val="left" w:pos="1264"/>
        </w:tabs>
        <w:overflowPunct w:val="0"/>
        <w:adjustRightInd w:val="0"/>
        <w:snapToGrid w:val="0"/>
        <w:spacing w:line="288" w:lineRule="auto"/>
        <w:ind w:right="941" w:firstLine="624"/>
        <w:jc w:val="right"/>
        <w:rPr>
          <w:rFonts w:hAnsi="宋体"/>
          <w:szCs w:val="30"/>
        </w:rPr>
      </w:pPr>
      <w:r>
        <w:rPr>
          <w:rFonts w:hint="eastAsia" w:hAnsi="宋体"/>
          <w:szCs w:val="30"/>
        </w:rPr>
        <w:t>上海市市场监督管理局</w:t>
      </w:r>
    </w:p>
    <w:p>
      <w:pPr>
        <w:tabs>
          <w:tab w:val="left" w:pos="790"/>
          <w:tab w:val="left" w:pos="1264"/>
        </w:tabs>
        <w:overflowPunct w:val="0"/>
        <w:adjustRightInd w:val="0"/>
        <w:snapToGrid w:val="0"/>
        <w:spacing w:line="288" w:lineRule="auto"/>
        <w:ind w:right="1247" w:firstLine="624"/>
        <w:jc w:val="right"/>
        <w:rPr>
          <w:rFonts w:hAnsi="宋体"/>
          <w:szCs w:val="30"/>
        </w:rPr>
      </w:pPr>
      <w:r>
        <w:rPr>
          <w:rFonts w:hint="eastAsia" w:hAnsi="宋体"/>
          <w:szCs w:val="30"/>
        </w:rPr>
        <w:t>2022年7月14日</w:t>
      </w:r>
    </w:p>
    <w:p>
      <w:pPr>
        <w:tabs>
          <w:tab w:val="left" w:pos="790"/>
          <w:tab w:val="left" w:pos="1264"/>
        </w:tabs>
        <w:overflowPunct w:val="0"/>
        <w:adjustRightInd w:val="0"/>
        <w:snapToGrid w:val="0"/>
        <w:spacing w:line="288" w:lineRule="auto"/>
        <w:ind w:firstLine="624"/>
        <w:rPr>
          <w:rFonts w:hAnsi="宋体"/>
          <w:szCs w:val="30"/>
        </w:rPr>
      </w:pPr>
      <w:r>
        <w:rPr>
          <w:rFonts w:hint="eastAsia" w:hAnsi="宋体"/>
          <w:szCs w:val="30"/>
        </w:rPr>
        <w:t>（此件公开发布）</w:t>
      </w:r>
    </w:p>
    <w:p>
      <w:pPr>
        <w:tabs>
          <w:tab w:val="left" w:pos="790"/>
        </w:tabs>
        <w:overflowPunct w:val="0"/>
        <w:adjustRightInd w:val="0"/>
        <w:snapToGrid w:val="0"/>
        <w:jc w:val="center"/>
        <w:rPr>
          <w:rFonts w:ascii="方正小标宋简体" w:hAnsi="宋体" w:eastAsia="方正小标宋简体"/>
          <w:sz w:val="44"/>
          <w:szCs w:val="44"/>
        </w:rPr>
      </w:pPr>
      <w:r>
        <w:rPr>
          <w:rFonts w:hint="eastAsia" w:ascii="方正小标宋简体" w:hAnsi="宋体" w:eastAsia="方正小标宋简体"/>
          <w:sz w:val="44"/>
          <w:szCs w:val="44"/>
        </w:rPr>
        <w:t>上海市焙炒咖啡开放式生产许可审查细则</w:t>
      </w:r>
    </w:p>
    <w:p>
      <w:pPr>
        <w:tabs>
          <w:tab w:val="left" w:pos="790"/>
          <w:tab w:val="left" w:pos="1264"/>
        </w:tabs>
        <w:overflowPunct w:val="0"/>
        <w:adjustRightInd w:val="0"/>
        <w:snapToGrid w:val="0"/>
        <w:spacing w:line="329" w:lineRule="auto"/>
        <w:ind w:firstLine="624"/>
        <w:rPr>
          <w:rFonts w:hAnsi="宋体"/>
          <w:szCs w:val="30"/>
        </w:rPr>
      </w:pPr>
    </w:p>
    <w:p>
      <w:pPr>
        <w:tabs>
          <w:tab w:val="left" w:pos="790"/>
          <w:tab w:val="left" w:pos="1264"/>
        </w:tabs>
        <w:overflowPunct w:val="0"/>
        <w:adjustRightInd w:val="0"/>
        <w:snapToGrid w:val="0"/>
        <w:spacing w:after="120" w:line="329" w:lineRule="auto"/>
        <w:jc w:val="center"/>
        <w:rPr>
          <w:rFonts w:ascii="方正小标宋简体" w:hAnsi="宋体" w:eastAsia="方正小标宋简体"/>
          <w:sz w:val="36"/>
          <w:szCs w:val="36"/>
        </w:rPr>
      </w:pPr>
      <w:r>
        <w:rPr>
          <w:rFonts w:hint="eastAsia" w:ascii="方正小标宋简体" w:hAnsi="宋体" w:eastAsia="方正小标宋简体"/>
          <w:sz w:val="36"/>
          <w:szCs w:val="36"/>
        </w:rPr>
        <w:t>第一章　总　则</w:t>
      </w:r>
    </w:p>
    <w:p>
      <w:pPr>
        <w:tabs>
          <w:tab w:val="left" w:pos="790"/>
          <w:tab w:val="left" w:pos="1264"/>
        </w:tabs>
        <w:overflowPunct w:val="0"/>
        <w:adjustRightInd w:val="0"/>
        <w:snapToGrid w:val="0"/>
        <w:spacing w:line="329" w:lineRule="auto"/>
        <w:ind w:firstLine="624"/>
        <w:rPr>
          <w:rFonts w:hAnsi="宋体"/>
          <w:szCs w:val="30"/>
        </w:rPr>
      </w:pPr>
      <w:r>
        <w:rPr>
          <w:rFonts w:hint="eastAsia" w:ascii="黑体" w:hAnsi="黑体" w:eastAsia="黑体" w:cs="黑体"/>
          <w:szCs w:val="30"/>
        </w:rPr>
        <w:t>第一条</w:t>
      </w:r>
      <w:r>
        <w:rPr>
          <w:rFonts w:hint="eastAsia" w:hAnsi="宋体"/>
          <w:szCs w:val="30"/>
        </w:rPr>
        <w:t>　本细则适用于焙炒咖啡开放式生产许可条件审查。</w:t>
      </w:r>
    </w:p>
    <w:p>
      <w:pPr>
        <w:tabs>
          <w:tab w:val="left" w:pos="790"/>
          <w:tab w:val="left" w:pos="1264"/>
        </w:tabs>
        <w:overflowPunct w:val="0"/>
        <w:adjustRightInd w:val="0"/>
        <w:snapToGrid w:val="0"/>
        <w:spacing w:line="329" w:lineRule="auto"/>
        <w:ind w:firstLine="624"/>
        <w:rPr>
          <w:rFonts w:hAnsi="宋体"/>
          <w:szCs w:val="30"/>
        </w:rPr>
      </w:pPr>
      <w:r>
        <w:rPr>
          <w:rFonts w:hint="eastAsia" w:hAnsi="宋体"/>
          <w:szCs w:val="30"/>
        </w:rPr>
        <w:t>细则中所称的焙炒咖啡是指以咖啡豆为原料，经清理、调配或不调配、焙炒、冷却、包装等工艺制成的食品。</w:t>
      </w:r>
    </w:p>
    <w:p>
      <w:pPr>
        <w:tabs>
          <w:tab w:val="left" w:pos="790"/>
          <w:tab w:val="left" w:pos="1264"/>
        </w:tabs>
        <w:overflowPunct w:val="0"/>
        <w:adjustRightInd w:val="0"/>
        <w:snapToGrid w:val="0"/>
        <w:spacing w:line="329" w:lineRule="auto"/>
        <w:ind w:firstLine="624"/>
        <w:rPr>
          <w:rFonts w:hAnsi="宋体"/>
          <w:szCs w:val="30"/>
        </w:rPr>
      </w:pPr>
      <w:r>
        <w:rPr>
          <w:rFonts w:hint="eastAsia" w:hAnsi="宋体"/>
          <w:szCs w:val="30"/>
        </w:rPr>
        <w:t>开放式生产是指不通过设置墙壁或独立房间进行隔离，可向消费者展示焙炒咖啡生产设施设备、生产过程，同时生产区域与非生产区域之间设置连续的透明防护设施，防止非食品加工人员进入生产区域的加工方式。</w:t>
      </w:r>
    </w:p>
    <w:p>
      <w:pPr>
        <w:tabs>
          <w:tab w:val="left" w:pos="790"/>
          <w:tab w:val="left" w:pos="1264"/>
        </w:tabs>
        <w:overflowPunct w:val="0"/>
        <w:adjustRightInd w:val="0"/>
        <w:snapToGrid w:val="0"/>
        <w:spacing w:line="329" w:lineRule="auto"/>
        <w:ind w:firstLine="624"/>
        <w:rPr>
          <w:rFonts w:hAnsi="宋体"/>
          <w:szCs w:val="30"/>
        </w:rPr>
      </w:pPr>
      <w:r>
        <w:rPr>
          <w:rFonts w:hint="eastAsia" w:ascii="黑体" w:hAnsi="黑体" w:eastAsia="黑体" w:cs="黑体"/>
          <w:szCs w:val="30"/>
        </w:rPr>
        <w:t>第二条</w:t>
      </w:r>
      <w:r>
        <w:rPr>
          <w:rFonts w:hint="eastAsia" w:hAnsi="宋体"/>
          <w:szCs w:val="30"/>
        </w:rPr>
        <w:t>　焙炒咖啡开放式生产的申证类别为可可及焙烤咖啡产品，其类别名称为：焙炒咖啡，类别编号为2002。焙炒咖啡开放式生产许可食品类别、类别名称、品种明细、定义、备注见附件1。</w:t>
      </w:r>
    </w:p>
    <w:p>
      <w:pPr>
        <w:tabs>
          <w:tab w:val="left" w:pos="790"/>
          <w:tab w:val="left" w:pos="1264"/>
        </w:tabs>
        <w:overflowPunct w:val="0"/>
        <w:adjustRightInd w:val="0"/>
        <w:snapToGrid w:val="0"/>
        <w:spacing w:line="329" w:lineRule="auto"/>
        <w:ind w:firstLine="624"/>
        <w:rPr>
          <w:rFonts w:hAnsi="宋体"/>
          <w:szCs w:val="30"/>
        </w:rPr>
      </w:pPr>
      <w:r>
        <w:rPr>
          <w:rFonts w:hint="eastAsia" w:ascii="黑体" w:hAnsi="黑体" w:eastAsia="黑体" w:cs="黑体"/>
          <w:szCs w:val="30"/>
        </w:rPr>
        <w:t>第三条</w:t>
      </w:r>
      <w:r>
        <w:rPr>
          <w:rFonts w:hint="eastAsia" w:hAnsi="宋体"/>
          <w:szCs w:val="30"/>
        </w:rPr>
        <w:t>　本类产品允许分装。</w:t>
      </w:r>
    </w:p>
    <w:p>
      <w:pPr>
        <w:tabs>
          <w:tab w:val="left" w:pos="790"/>
          <w:tab w:val="left" w:pos="1264"/>
        </w:tabs>
        <w:overflowPunct w:val="0"/>
        <w:adjustRightInd w:val="0"/>
        <w:snapToGrid w:val="0"/>
        <w:spacing w:line="329" w:lineRule="auto"/>
        <w:ind w:firstLine="624"/>
        <w:rPr>
          <w:rFonts w:hAnsi="宋体"/>
          <w:szCs w:val="30"/>
        </w:rPr>
      </w:pPr>
      <w:r>
        <w:rPr>
          <w:rFonts w:hint="eastAsia" w:ascii="黑体" w:hAnsi="黑体" w:eastAsia="黑体" w:cs="黑体"/>
          <w:szCs w:val="30"/>
        </w:rPr>
        <w:t>第四条</w:t>
      </w:r>
      <w:r>
        <w:rPr>
          <w:rFonts w:hint="eastAsia" w:hAnsi="宋体"/>
          <w:szCs w:val="30"/>
        </w:rPr>
        <w:t>　本细则中引用的文件、标准通过引用成为本细则的内容。凡是引用文件、标准，其最新版本（包括所有的修改单）适用于本细则。</w:t>
      </w:r>
    </w:p>
    <w:p>
      <w:pPr>
        <w:tabs>
          <w:tab w:val="left" w:pos="790"/>
          <w:tab w:val="left" w:pos="1264"/>
        </w:tabs>
        <w:overflowPunct w:val="0"/>
        <w:adjustRightInd w:val="0"/>
        <w:snapToGrid w:val="0"/>
        <w:spacing w:line="329" w:lineRule="auto"/>
        <w:ind w:firstLine="624"/>
        <w:rPr>
          <w:rFonts w:hAnsi="宋体"/>
          <w:szCs w:val="30"/>
        </w:rPr>
      </w:pPr>
    </w:p>
    <w:p>
      <w:pPr>
        <w:tabs>
          <w:tab w:val="left" w:pos="790"/>
          <w:tab w:val="left" w:pos="1264"/>
        </w:tabs>
        <w:overflowPunct w:val="0"/>
        <w:adjustRightInd w:val="0"/>
        <w:snapToGrid w:val="0"/>
        <w:spacing w:after="120" w:line="329" w:lineRule="auto"/>
        <w:jc w:val="center"/>
        <w:rPr>
          <w:rFonts w:ascii="方正小标宋简体" w:hAnsi="宋体" w:eastAsia="方正小标宋简体"/>
          <w:sz w:val="36"/>
          <w:szCs w:val="36"/>
        </w:rPr>
      </w:pPr>
      <w:r>
        <w:rPr>
          <w:rFonts w:hint="eastAsia" w:ascii="方正小标宋简体" w:hAnsi="宋体" w:eastAsia="方正小标宋简体"/>
          <w:sz w:val="36"/>
          <w:szCs w:val="36"/>
        </w:rPr>
        <w:t>第二章　生产场所</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第五条</w:t>
      </w:r>
      <w:r>
        <w:rPr>
          <w:rFonts w:hint="eastAsia" w:hAnsi="宋体"/>
          <w:szCs w:val="30"/>
        </w:rPr>
        <w:t>　生产区域选址、顶棚、墙壁、地面、检验室设置应符合《食品生产许可审查通则》生产场所相关规定。</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第六条</w:t>
      </w:r>
      <w:r>
        <w:rPr>
          <w:rFonts w:hint="eastAsia" w:hAnsi="宋体"/>
          <w:szCs w:val="30"/>
        </w:rPr>
        <w:t>　生产区域面积和空间应与产品品种、数量相适应，生产区域与非生产区域应设置高度不低于1.05米连续的透明防护设施进行分隔，有效防止非食品加工人员进入生产区域。</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第七条</w:t>
      </w:r>
      <w:r>
        <w:rPr>
          <w:rFonts w:hint="eastAsia" w:hAnsi="宋体"/>
          <w:szCs w:val="30"/>
        </w:rPr>
        <w:t>　原辅料、成品等物料应当依据性质的不同分设库房或分区存放。清洁剂、消毒剂、杀虫剂、润滑剂、燃料等物料应当专柜放置。库房内或分区存放的物料应当与墙壁、地面保持适当距离，并明确标识，防止交叉污染。</w:t>
      </w:r>
    </w:p>
    <w:p>
      <w:pPr>
        <w:tabs>
          <w:tab w:val="left" w:pos="790"/>
          <w:tab w:val="left" w:pos="1264"/>
        </w:tabs>
        <w:overflowPunct w:val="0"/>
        <w:adjustRightInd w:val="0"/>
        <w:snapToGrid w:val="0"/>
        <w:spacing w:line="336" w:lineRule="auto"/>
        <w:ind w:firstLine="624"/>
        <w:rPr>
          <w:rFonts w:hAnsi="宋体"/>
          <w:szCs w:val="30"/>
        </w:rPr>
      </w:pPr>
    </w:p>
    <w:p>
      <w:pPr>
        <w:tabs>
          <w:tab w:val="left" w:pos="790"/>
          <w:tab w:val="left" w:pos="1264"/>
        </w:tabs>
        <w:overflowPunct w:val="0"/>
        <w:adjustRightInd w:val="0"/>
        <w:snapToGrid w:val="0"/>
        <w:spacing w:after="120" w:line="336" w:lineRule="auto"/>
        <w:jc w:val="center"/>
        <w:rPr>
          <w:rFonts w:ascii="方正小标宋简体" w:hAnsi="宋体" w:eastAsia="方正小标宋简体"/>
          <w:sz w:val="36"/>
          <w:szCs w:val="36"/>
        </w:rPr>
      </w:pPr>
      <w:r>
        <w:rPr>
          <w:rFonts w:hint="eastAsia" w:ascii="方正小标宋简体" w:hAnsi="宋体" w:eastAsia="方正小标宋简体"/>
          <w:sz w:val="36"/>
          <w:szCs w:val="36"/>
        </w:rPr>
        <w:t>第三章　设备设施</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第八条</w:t>
      </w:r>
      <w:r>
        <w:rPr>
          <w:rFonts w:hint="eastAsia" w:hAnsi="宋体"/>
          <w:szCs w:val="30"/>
        </w:rPr>
        <w:t>　供排水、清洁消毒、废弃物存放、照明、检验设施应符合《食品生产许可审查通则》中设备设施的相关规定。</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用于监测、控制、记录的设备，如压力表、温度计、记录仪等，应定期校准、维护。</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第九条</w:t>
      </w:r>
      <w:r>
        <w:rPr>
          <w:rFonts w:hint="eastAsia" w:hAnsi="宋体"/>
          <w:szCs w:val="30"/>
        </w:rPr>
        <w:t>　配备与生产的产品品种、数量相适应的生产设备，包括磁力筛选、焙烤、冷却、除石机（可选）、产品管道输送、包装、X光质量检测仪等设备。使用充氮包装的，应配备氮气发生器或其他充氮设备。</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生产设备性能、精度、材质应符合《食品生产许可审查通则》中生产设备的相关规定。</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第十条</w:t>
      </w:r>
      <w:r>
        <w:rPr>
          <w:rFonts w:hint="eastAsia" w:hAnsi="宋体"/>
          <w:szCs w:val="30"/>
        </w:rPr>
        <w:t>　生咖啡豆投料口与地面距离应不少于45厘米，配有专用遮罩。焙炒咖啡豆冷却盘上方应有防护装置，防止异物进入。</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第十一条</w:t>
      </w:r>
      <w:r>
        <w:rPr>
          <w:rFonts w:hint="eastAsia" w:hAnsi="宋体"/>
          <w:szCs w:val="30"/>
        </w:rPr>
        <w:t>　生产区域入口处应设置更衣区，并配备更衣和换鞋（穿戴鞋套）设施或鞋靴消毒设施，工作服应与个人服装及其他物品分开放置。生产区域入口处应设置与生产加工人员数量相匹配的非手动式洗手、干手和消毒设施。</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第十二条</w:t>
      </w:r>
      <w:r>
        <w:rPr>
          <w:rFonts w:hint="eastAsia" w:hAnsi="宋体"/>
          <w:szCs w:val="30"/>
        </w:rPr>
        <w:t>　生产区域配备初效、中效空气净化系统设施设备，并自动监控。</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第十三条</w:t>
      </w:r>
      <w:r>
        <w:rPr>
          <w:rFonts w:hint="eastAsia" w:hAnsi="宋体"/>
          <w:szCs w:val="30"/>
        </w:rPr>
        <w:t>　生产区域安装可以监控生产全过程的视频监控设施设备。</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第十四条</w:t>
      </w:r>
      <w:r>
        <w:rPr>
          <w:rFonts w:hint="eastAsia" w:hAnsi="宋体"/>
          <w:szCs w:val="30"/>
        </w:rPr>
        <w:t>　应根据生产的需要，配备适宜的用于监测温度、湿度和控制室温和湿度的设施。</w:t>
      </w:r>
    </w:p>
    <w:p>
      <w:pPr>
        <w:tabs>
          <w:tab w:val="left" w:pos="790"/>
          <w:tab w:val="left" w:pos="1264"/>
        </w:tabs>
        <w:overflowPunct w:val="0"/>
        <w:adjustRightInd w:val="0"/>
        <w:snapToGrid w:val="0"/>
        <w:spacing w:line="336" w:lineRule="auto"/>
        <w:ind w:firstLine="624"/>
        <w:rPr>
          <w:rFonts w:hAnsi="宋体"/>
          <w:szCs w:val="30"/>
        </w:rPr>
      </w:pPr>
    </w:p>
    <w:p>
      <w:pPr>
        <w:tabs>
          <w:tab w:val="left" w:pos="790"/>
          <w:tab w:val="left" w:pos="1264"/>
        </w:tabs>
        <w:overflowPunct w:val="0"/>
        <w:adjustRightInd w:val="0"/>
        <w:snapToGrid w:val="0"/>
        <w:spacing w:after="120" w:line="336" w:lineRule="auto"/>
        <w:jc w:val="center"/>
        <w:rPr>
          <w:rFonts w:ascii="方正小标宋简体" w:hAnsi="宋体" w:eastAsia="方正小标宋简体"/>
          <w:sz w:val="36"/>
          <w:szCs w:val="36"/>
        </w:rPr>
      </w:pPr>
      <w:r>
        <w:rPr>
          <w:rFonts w:hint="eastAsia" w:ascii="方正小标宋简体" w:hAnsi="宋体" w:eastAsia="方正小标宋简体"/>
          <w:sz w:val="36"/>
          <w:szCs w:val="36"/>
        </w:rPr>
        <w:t>第四章　设备布局与工艺流程</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第十五条</w:t>
      </w:r>
      <w:r>
        <w:rPr>
          <w:rFonts w:hint="eastAsia" w:hAnsi="宋体"/>
          <w:szCs w:val="30"/>
        </w:rPr>
        <w:t>　符合《食品生产许可审查通则》中设备布局与工艺流程的相关规定。</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第十六条</w:t>
      </w:r>
      <w:r>
        <w:rPr>
          <w:rFonts w:hint="eastAsia" w:hAnsi="宋体"/>
          <w:szCs w:val="30"/>
        </w:rPr>
        <w:t>　生产设备与生产工艺相符，若采用不同于附件2所列的生产工艺，应具备与生产工艺相适应的生产设备。</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第十七条</w:t>
      </w:r>
      <w:r>
        <w:rPr>
          <w:rFonts w:hint="eastAsia" w:hAnsi="宋体"/>
          <w:szCs w:val="30"/>
        </w:rPr>
        <w:t>　通过危害分析方法明确影响产品质量的关键工序或关键点，实施质量控制，关键工序或关键点可设为烘焙、冷却等，对其形成的信息建立电子信息记录系统。</w:t>
      </w:r>
    </w:p>
    <w:p>
      <w:pPr>
        <w:tabs>
          <w:tab w:val="left" w:pos="790"/>
          <w:tab w:val="left" w:pos="1264"/>
        </w:tabs>
        <w:overflowPunct w:val="0"/>
        <w:adjustRightInd w:val="0"/>
        <w:snapToGrid w:val="0"/>
        <w:spacing w:line="336" w:lineRule="auto"/>
        <w:ind w:firstLine="624"/>
        <w:rPr>
          <w:rFonts w:hAnsi="宋体"/>
          <w:szCs w:val="30"/>
        </w:rPr>
      </w:pPr>
    </w:p>
    <w:p>
      <w:pPr>
        <w:tabs>
          <w:tab w:val="left" w:pos="790"/>
          <w:tab w:val="left" w:pos="1264"/>
        </w:tabs>
        <w:overflowPunct w:val="0"/>
        <w:adjustRightInd w:val="0"/>
        <w:snapToGrid w:val="0"/>
        <w:spacing w:after="120" w:line="336" w:lineRule="auto"/>
        <w:jc w:val="center"/>
        <w:rPr>
          <w:rFonts w:ascii="方正小标宋简体" w:hAnsi="宋体" w:eastAsia="方正小标宋简体"/>
          <w:sz w:val="36"/>
          <w:szCs w:val="36"/>
        </w:rPr>
      </w:pPr>
      <w:r>
        <w:rPr>
          <w:rFonts w:hint="eastAsia" w:ascii="方正小标宋简体" w:hAnsi="宋体" w:eastAsia="方正小标宋简体"/>
          <w:sz w:val="36"/>
          <w:szCs w:val="36"/>
        </w:rPr>
        <w:t>第五章　人员管理</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第十八条</w:t>
      </w:r>
      <w:r>
        <w:rPr>
          <w:rFonts w:hint="eastAsia" w:hAnsi="宋体"/>
          <w:szCs w:val="30"/>
        </w:rPr>
        <w:t>　符合《食品生产许可审查通则》中人员管理的相关规定。</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第十九条</w:t>
      </w:r>
      <w:r>
        <w:rPr>
          <w:rFonts w:hint="eastAsia" w:hAnsi="宋体"/>
          <w:szCs w:val="30"/>
        </w:rPr>
        <w:t>　应对本单位的从业人员进行上岗前和在岗期间的食品安全知识培训，并建立培训档案。应对食品安全管理人员、关键环节操作人员及其他相关从业人员进行考核。考核不合格的，不得上岗。</w:t>
      </w:r>
    </w:p>
    <w:p>
      <w:pPr>
        <w:tabs>
          <w:tab w:val="left" w:pos="790"/>
          <w:tab w:val="left" w:pos="1264"/>
        </w:tabs>
        <w:overflowPunct w:val="0"/>
        <w:adjustRightInd w:val="0"/>
        <w:snapToGrid w:val="0"/>
        <w:spacing w:line="336" w:lineRule="auto"/>
        <w:ind w:firstLine="624"/>
        <w:rPr>
          <w:rFonts w:hAnsi="宋体"/>
          <w:szCs w:val="30"/>
        </w:rPr>
      </w:pPr>
    </w:p>
    <w:p>
      <w:pPr>
        <w:tabs>
          <w:tab w:val="left" w:pos="790"/>
          <w:tab w:val="left" w:pos="1264"/>
        </w:tabs>
        <w:overflowPunct w:val="0"/>
        <w:adjustRightInd w:val="0"/>
        <w:snapToGrid w:val="0"/>
        <w:spacing w:after="120" w:line="336" w:lineRule="auto"/>
        <w:jc w:val="center"/>
        <w:rPr>
          <w:rFonts w:ascii="方正小标宋简体" w:hAnsi="宋体" w:eastAsia="方正小标宋简体"/>
          <w:sz w:val="36"/>
          <w:szCs w:val="36"/>
        </w:rPr>
      </w:pPr>
      <w:r>
        <w:rPr>
          <w:rFonts w:hint="eastAsia" w:ascii="方正小标宋简体" w:hAnsi="宋体" w:eastAsia="方正小标宋简体"/>
          <w:sz w:val="36"/>
          <w:szCs w:val="36"/>
        </w:rPr>
        <w:t>第六章　管理制度</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第二十条</w:t>
      </w:r>
      <w:r>
        <w:rPr>
          <w:rFonts w:hint="eastAsia" w:hAnsi="宋体"/>
          <w:szCs w:val="30"/>
        </w:rPr>
        <w:t>　符合《食品生产许可审查通则》中管理制度的相关规定。</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第二十一条</w:t>
      </w:r>
      <w:r>
        <w:rPr>
          <w:rFonts w:hint="eastAsia" w:hAnsi="宋体"/>
          <w:szCs w:val="30"/>
        </w:rPr>
        <w:t>　参考《食品安全国家标准食品生产通用卫生规范》（GB14881）附录A，制定与产品相适应的环境及过程微生物监控程序。</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第二十二条</w:t>
      </w:r>
      <w:r>
        <w:rPr>
          <w:rFonts w:hint="eastAsia" w:hAnsi="宋体"/>
          <w:szCs w:val="30"/>
        </w:rPr>
        <w:t>　制定生产区域防护管理和巡视记录制度，禁止非食品加工人员进入生产区域，特殊情况下进入时应遵守和食品加工人员同样的卫生要求。</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第二十三条</w:t>
      </w:r>
      <w:r>
        <w:rPr>
          <w:rFonts w:hint="eastAsia" w:hAnsi="宋体"/>
          <w:szCs w:val="30"/>
        </w:rPr>
        <w:t>　建立原料控制制度，生咖啡豆原料应当经过预先清理。</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第二十四条</w:t>
      </w:r>
      <w:r>
        <w:rPr>
          <w:rFonts w:hint="eastAsia" w:hAnsi="宋体"/>
          <w:szCs w:val="30"/>
        </w:rPr>
        <w:t>　制定虫害控制程序管理制度，防止虫害侵入。</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第二十五条</w:t>
      </w:r>
      <w:r>
        <w:rPr>
          <w:rFonts w:hint="eastAsia" w:hAnsi="宋体"/>
          <w:szCs w:val="30"/>
        </w:rPr>
        <w:t>　建立电子信息追溯系统，实现从生咖啡豆到成品咖啡批次的信息追溯。</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第二十六条</w:t>
      </w:r>
      <w:r>
        <w:rPr>
          <w:rFonts w:hint="eastAsia" w:hAnsi="宋体"/>
          <w:szCs w:val="30"/>
        </w:rPr>
        <w:t>　建立与所生产食品相适应的危害分析和关键控制点等食品安全管理体系，定期对其运行情况进行自查，保证有效运行，并形成自查报告。</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第二十七条</w:t>
      </w:r>
      <w:r>
        <w:rPr>
          <w:rFonts w:hint="eastAsia" w:hAnsi="宋体" w:eastAsia="黑体"/>
          <w:szCs w:val="30"/>
        </w:rPr>
        <w:t>　</w:t>
      </w:r>
      <w:r>
        <w:rPr>
          <w:rFonts w:hint="eastAsia" w:hAnsi="宋体"/>
          <w:szCs w:val="30"/>
        </w:rPr>
        <w:t>建立供应商食品安全检查评价制度，明确风险收集要求，制定供应商食品安全检查评价规范和检查评价结果处置规定。</w:t>
      </w:r>
    </w:p>
    <w:p>
      <w:pPr>
        <w:tabs>
          <w:tab w:val="left" w:pos="790"/>
          <w:tab w:val="left" w:pos="1264"/>
        </w:tabs>
        <w:overflowPunct w:val="0"/>
        <w:adjustRightInd w:val="0"/>
        <w:snapToGrid w:val="0"/>
        <w:spacing w:line="336" w:lineRule="auto"/>
        <w:ind w:firstLine="624"/>
        <w:rPr>
          <w:rFonts w:hAnsi="宋体"/>
          <w:szCs w:val="30"/>
        </w:rPr>
      </w:pPr>
    </w:p>
    <w:p>
      <w:pPr>
        <w:tabs>
          <w:tab w:val="left" w:pos="790"/>
          <w:tab w:val="left" w:pos="1264"/>
        </w:tabs>
        <w:overflowPunct w:val="0"/>
        <w:adjustRightInd w:val="0"/>
        <w:snapToGrid w:val="0"/>
        <w:spacing w:after="120" w:line="336" w:lineRule="auto"/>
        <w:jc w:val="center"/>
        <w:rPr>
          <w:rFonts w:ascii="方正小标宋简体" w:hAnsi="宋体" w:eastAsia="方正小标宋简体"/>
          <w:sz w:val="36"/>
          <w:szCs w:val="36"/>
        </w:rPr>
      </w:pPr>
      <w:r>
        <w:rPr>
          <w:rFonts w:hint="eastAsia" w:ascii="方正小标宋简体" w:hAnsi="宋体" w:eastAsia="方正小标宋简体"/>
          <w:sz w:val="36"/>
          <w:szCs w:val="36"/>
        </w:rPr>
        <w:t>第七章　检　验</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第二十八条</w:t>
      </w:r>
      <w:r>
        <w:rPr>
          <w:rFonts w:hint="eastAsia" w:hAnsi="宋体"/>
          <w:szCs w:val="30"/>
        </w:rPr>
        <w:t>　按照企业所申报焙炒咖啡的申证类别名称，提供试制食品的有资质第三方检验合格报告，检验项目应包含《食品安全国家标准食品中污染物限量》（GB2762）、《食品安全国家标准食品中农药最大残留限量》（GB2763）中规定的咖啡豆检测项目以及企业标准规定的全部项目。</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第二十九条</w:t>
      </w:r>
      <w:r>
        <w:rPr>
          <w:rFonts w:hint="eastAsia" w:hAnsi="宋体"/>
          <w:szCs w:val="30"/>
        </w:rPr>
        <w:t>　出厂检验和型式检验项目执行《焙炒咖啡生产许可证审查细则》的相关规定。</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企业可以使用快速检测方法及设备进行产品检验，但应保证检测结果准确。使用的快速检测方法及设备做出厂检验时，应定期与国家标准规定的检验方法进行对比或者验证。快速检测结果不合格时，应使用食品安全国家标准规定的检验方法进行确认。</w:t>
      </w:r>
    </w:p>
    <w:p>
      <w:pPr>
        <w:tabs>
          <w:tab w:val="left" w:pos="790"/>
          <w:tab w:val="left" w:pos="1264"/>
        </w:tabs>
        <w:overflowPunct w:val="0"/>
        <w:adjustRightInd w:val="0"/>
        <w:snapToGrid w:val="0"/>
        <w:spacing w:line="336" w:lineRule="auto"/>
        <w:ind w:firstLine="624"/>
        <w:rPr>
          <w:rFonts w:hAnsi="宋体"/>
          <w:szCs w:val="30"/>
        </w:rPr>
      </w:pPr>
    </w:p>
    <w:p>
      <w:pPr>
        <w:tabs>
          <w:tab w:val="left" w:pos="790"/>
          <w:tab w:val="left" w:pos="1264"/>
        </w:tabs>
        <w:overflowPunct w:val="0"/>
        <w:adjustRightInd w:val="0"/>
        <w:snapToGrid w:val="0"/>
        <w:spacing w:after="120" w:line="336" w:lineRule="auto"/>
        <w:jc w:val="center"/>
        <w:rPr>
          <w:rFonts w:ascii="方正小标宋简体" w:hAnsi="宋体" w:eastAsia="方正小标宋简体"/>
          <w:sz w:val="36"/>
          <w:szCs w:val="36"/>
        </w:rPr>
      </w:pPr>
      <w:r>
        <w:rPr>
          <w:rFonts w:hint="eastAsia" w:ascii="方正小标宋简体" w:hAnsi="宋体" w:eastAsia="方正小标宋简体"/>
          <w:sz w:val="36"/>
          <w:szCs w:val="36"/>
        </w:rPr>
        <w:t>第八章　附　则</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第三十条</w:t>
      </w:r>
      <w:r>
        <w:rPr>
          <w:rFonts w:hint="eastAsia" w:hAnsi="宋体"/>
          <w:szCs w:val="30"/>
        </w:rPr>
        <w:t>　本细则未提及的、与焙炒咖啡开放式生产工艺相关的其他要求应按照《焙炒咖啡生产许可</w:t>
      </w:r>
      <w:r>
        <w:rPr>
          <w:rFonts w:hint="eastAsia" w:hAnsi="宋体"/>
          <w:szCs w:val="30"/>
          <w:lang w:eastAsia="zh-CN"/>
        </w:rPr>
        <w:t>证</w:t>
      </w:r>
      <w:r>
        <w:rPr>
          <w:rFonts w:hint="eastAsia" w:hAnsi="宋体"/>
          <w:szCs w:val="30"/>
        </w:rPr>
        <w:t>审查细则》执行。</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第三十一条</w:t>
      </w:r>
      <w:r>
        <w:rPr>
          <w:rFonts w:hint="eastAsia" w:hAnsi="宋体"/>
          <w:szCs w:val="30"/>
        </w:rPr>
        <w:t>　本细则自2022年8月18日起施行，有效期至2027年8月17日。原上海市食品药品监督管理局发布的《上海市焙炒咖啡开放式生产许可审查细则》（沪食药监规〔2017〕7号）同时废止。</w:t>
      </w:r>
    </w:p>
    <w:p>
      <w:pPr>
        <w:tabs>
          <w:tab w:val="left" w:pos="790"/>
          <w:tab w:val="left" w:pos="1264"/>
        </w:tabs>
        <w:overflowPunct w:val="0"/>
        <w:adjustRightInd w:val="0"/>
        <w:snapToGrid w:val="0"/>
        <w:spacing w:line="336" w:lineRule="auto"/>
        <w:ind w:firstLine="624"/>
        <w:rPr>
          <w:rFonts w:hAnsi="宋体"/>
          <w:szCs w:val="30"/>
        </w:rPr>
      </w:pP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附件：1．焙炒咖啡开放式生产许可食品类别目录表</w:t>
      </w:r>
    </w:p>
    <w:p>
      <w:pPr>
        <w:tabs>
          <w:tab w:val="left" w:pos="790"/>
          <w:tab w:val="left" w:pos="1264"/>
        </w:tabs>
        <w:overflowPunct w:val="0"/>
        <w:adjustRightInd w:val="0"/>
        <w:snapToGrid w:val="0"/>
        <w:spacing w:line="336" w:lineRule="auto"/>
        <w:ind w:firstLine="1576"/>
        <w:rPr>
          <w:rFonts w:hAnsi="宋体"/>
          <w:szCs w:val="30"/>
        </w:rPr>
      </w:pPr>
      <w:r>
        <w:rPr>
          <w:rFonts w:hint="eastAsia" w:hAnsi="宋体"/>
          <w:szCs w:val="30"/>
        </w:rPr>
        <w:t>2．焙炒咖啡开放式生产基本工艺和设备</w:t>
      </w:r>
    </w:p>
    <w:p>
      <w:pPr>
        <w:tabs>
          <w:tab w:val="left" w:pos="790"/>
          <w:tab w:val="left" w:pos="1264"/>
        </w:tabs>
        <w:overflowPunct w:val="0"/>
        <w:adjustRightInd w:val="0"/>
        <w:snapToGrid w:val="0"/>
        <w:spacing w:line="336" w:lineRule="auto"/>
        <w:ind w:firstLine="624"/>
        <w:rPr>
          <w:rFonts w:hAnsi="宋体"/>
          <w:szCs w:val="30"/>
        </w:rPr>
      </w:pPr>
    </w:p>
    <w:p>
      <w:pPr>
        <w:rPr>
          <w:rFonts w:ascii="黑体" w:hAnsi="宋体" w:eastAsia="黑体"/>
          <w:szCs w:val="32"/>
        </w:rPr>
      </w:pPr>
      <w:r>
        <w:rPr>
          <w:rFonts w:hint="eastAsia" w:ascii="黑体" w:hAnsi="宋体" w:eastAsia="黑体"/>
          <w:szCs w:val="32"/>
        </w:rPr>
        <w:br w:type="page"/>
      </w:r>
    </w:p>
    <w:p>
      <w:pPr>
        <w:tabs>
          <w:tab w:val="left" w:pos="790"/>
          <w:tab w:val="left" w:pos="1264"/>
        </w:tabs>
        <w:overflowPunct w:val="0"/>
        <w:adjustRightInd w:val="0"/>
        <w:snapToGrid w:val="0"/>
        <w:rPr>
          <w:rFonts w:ascii="黑体" w:eastAsia="黑体"/>
          <w:szCs w:val="30"/>
        </w:rPr>
      </w:pPr>
      <w:r>
        <w:rPr>
          <w:rFonts w:hint="eastAsia" w:ascii="黑体" w:eastAsia="黑体"/>
          <w:szCs w:val="30"/>
        </w:rPr>
        <w:t>附件1</w:t>
      </w:r>
    </w:p>
    <w:p>
      <w:pPr>
        <w:overflowPunct w:val="0"/>
        <w:adjustRightInd w:val="0"/>
        <w:snapToGrid w:val="0"/>
        <w:spacing w:line="336" w:lineRule="auto"/>
        <w:rPr>
          <w:szCs w:val="30"/>
        </w:rPr>
      </w:pPr>
    </w:p>
    <w:p>
      <w:pPr>
        <w:tabs>
          <w:tab w:val="left" w:pos="790"/>
        </w:tabs>
        <w:overflowPunct w:val="0"/>
        <w:adjustRightInd w:val="0"/>
        <w:snapToGrid w:val="0"/>
        <w:jc w:val="center"/>
        <w:rPr>
          <w:rFonts w:ascii="方正小标宋简体" w:hAnsi="宋体" w:eastAsia="方正小标宋简体"/>
          <w:sz w:val="44"/>
          <w:szCs w:val="44"/>
        </w:rPr>
      </w:pPr>
      <w:r>
        <w:rPr>
          <w:rFonts w:hint="eastAsia" w:ascii="方正小标宋简体" w:hAnsi="宋体" w:eastAsia="方正小标宋简体"/>
          <w:sz w:val="44"/>
          <w:szCs w:val="44"/>
        </w:rPr>
        <w:t>焙炒咖啡开放式生产许可食品类别目录表</w:t>
      </w:r>
    </w:p>
    <w:p>
      <w:pPr>
        <w:overflowPunct w:val="0"/>
        <w:adjustRightInd w:val="0"/>
        <w:snapToGrid w:val="0"/>
        <w:spacing w:line="336" w:lineRule="auto"/>
        <w:rPr>
          <w:szCs w:val="30"/>
        </w:rPr>
      </w:pP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2"/>
        <w:gridCol w:w="1742"/>
        <w:gridCol w:w="1743"/>
        <w:gridCol w:w="2091"/>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701" w:type="dxa"/>
            <w:tcBorders>
              <w:tl2br w:val="nil"/>
              <w:tr2bl w:val="nil"/>
            </w:tcBorders>
            <w:noWrap/>
            <w:vAlign w:val="center"/>
          </w:tcPr>
          <w:p>
            <w:pPr>
              <w:adjustRightInd w:val="0"/>
              <w:snapToGrid w:val="0"/>
              <w:jc w:val="center"/>
              <w:rPr>
                <w:rFonts w:ascii="黑体" w:hAnsi="黑体" w:eastAsia="黑体" w:cs="黑体"/>
                <w:sz w:val="28"/>
                <w:szCs w:val="28"/>
              </w:rPr>
            </w:pPr>
            <w:r>
              <w:rPr>
                <w:rFonts w:hint="eastAsia" w:ascii="黑体" w:hAnsi="黑体" w:eastAsia="黑体" w:cs="黑体"/>
                <w:sz w:val="28"/>
                <w:szCs w:val="28"/>
              </w:rPr>
              <w:t>食品类别</w:t>
            </w:r>
          </w:p>
        </w:tc>
        <w:tc>
          <w:tcPr>
            <w:tcW w:w="1701" w:type="dxa"/>
            <w:tcBorders>
              <w:tl2br w:val="nil"/>
              <w:tr2bl w:val="nil"/>
            </w:tcBorders>
            <w:noWrap/>
            <w:vAlign w:val="center"/>
          </w:tcPr>
          <w:p>
            <w:pPr>
              <w:adjustRightInd w:val="0"/>
              <w:snapToGrid w:val="0"/>
              <w:jc w:val="center"/>
              <w:rPr>
                <w:rFonts w:ascii="黑体" w:hAnsi="黑体" w:eastAsia="黑体" w:cs="黑体"/>
                <w:sz w:val="28"/>
                <w:szCs w:val="28"/>
              </w:rPr>
            </w:pPr>
            <w:r>
              <w:rPr>
                <w:rFonts w:hint="eastAsia" w:ascii="黑体" w:hAnsi="黑体" w:eastAsia="黑体" w:cs="黑体"/>
                <w:sz w:val="28"/>
                <w:szCs w:val="28"/>
              </w:rPr>
              <w:t>类别名称</w:t>
            </w:r>
          </w:p>
        </w:tc>
        <w:tc>
          <w:tcPr>
            <w:tcW w:w="1701" w:type="dxa"/>
            <w:tcBorders>
              <w:tl2br w:val="nil"/>
              <w:tr2bl w:val="nil"/>
            </w:tcBorders>
            <w:noWrap/>
            <w:vAlign w:val="center"/>
          </w:tcPr>
          <w:p>
            <w:pPr>
              <w:adjustRightInd w:val="0"/>
              <w:snapToGrid w:val="0"/>
              <w:jc w:val="center"/>
              <w:rPr>
                <w:rFonts w:ascii="黑体" w:hAnsi="黑体" w:eastAsia="黑体" w:cs="黑体"/>
                <w:sz w:val="28"/>
                <w:szCs w:val="28"/>
              </w:rPr>
            </w:pPr>
            <w:r>
              <w:rPr>
                <w:rFonts w:hint="eastAsia" w:ascii="黑体" w:hAnsi="黑体" w:eastAsia="黑体" w:cs="黑体"/>
                <w:sz w:val="28"/>
                <w:szCs w:val="28"/>
              </w:rPr>
              <w:t>品种明细</w:t>
            </w:r>
          </w:p>
        </w:tc>
        <w:tc>
          <w:tcPr>
            <w:tcW w:w="2041" w:type="dxa"/>
            <w:tcBorders>
              <w:tl2br w:val="nil"/>
              <w:tr2bl w:val="nil"/>
            </w:tcBorders>
            <w:noWrap/>
            <w:vAlign w:val="center"/>
          </w:tcPr>
          <w:p>
            <w:pPr>
              <w:adjustRightInd w:val="0"/>
              <w:snapToGrid w:val="0"/>
              <w:jc w:val="center"/>
              <w:rPr>
                <w:rFonts w:ascii="黑体" w:hAnsi="黑体" w:eastAsia="黑体" w:cs="黑体"/>
                <w:sz w:val="28"/>
                <w:szCs w:val="28"/>
              </w:rPr>
            </w:pPr>
            <w:r>
              <w:rPr>
                <w:rFonts w:hint="eastAsia" w:ascii="黑体" w:hAnsi="黑体" w:eastAsia="黑体" w:cs="黑体"/>
                <w:sz w:val="28"/>
                <w:szCs w:val="28"/>
              </w:rPr>
              <w:t>定义</w:t>
            </w:r>
          </w:p>
        </w:tc>
        <w:tc>
          <w:tcPr>
            <w:tcW w:w="1701" w:type="dxa"/>
            <w:tcBorders>
              <w:tl2br w:val="nil"/>
              <w:tr2bl w:val="nil"/>
            </w:tcBorders>
            <w:noWrap/>
            <w:vAlign w:val="center"/>
          </w:tcPr>
          <w:p>
            <w:pPr>
              <w:adjustRightInd w:val="0"/>
              <w:snapToGrid w:val="0"/>
              <w:jc w:val="center"/>
              <w:rPr>
                <w:rFonts w:ascii="黑体" w:hAnsi="黑体" w:eastAsia="黑体" w:cs="黑体"/>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701" w:type="dxa"/>
            <w:tcBorders>
              <w:tl2br w:val="nil"/>
              <w:tr2bl w:val="nil"/>
            </w:tcBorders>
            <w:noWrap/>
            <w:vAlign w:val="center"/>
          </w:tcPr>
          <w:p>
            <w:pPr>
              <w:adjustRightInd w:val="0"/>
              <w:snapToGrid w:val="0"/>
              <w:jc w:val="center"/>
              <w:rPr>
                <w:rFonts w:ascii="宋体" w:hAnsi="宋体"/>
                <w:sz w:val="28"/>
                <w:szCs w:val="28"/>
              </w:rPr>
            </w:pPr>
            <w:r>
              <w:rPr>
                <w:rFonts w:hint="eastAsia" w:ascii="宋体" w:hAnsi="宋体"/>
                <w:sz w:val="28"/>
                <w:szCs w:val="28"/>
              </w:rPr>
              <w:t>可可及焙烤咖啡产品</w:t>
            </w:r>
          </w:p>
        </w:tc>
        <w:tc>
          <w:tcPr>
            <w:tcW w:w="1701" w:type="dxa"/>
            <w:tcBorders>
              <w:tl2br w:val="nil"/>
              <w:tr2bl w:val="nil"/>
            </w:tcBorders>
            <w:noWrap/>
            <w:vAlign w:val="center"/>
          </w:tcPr>
          <w:p>
            <w:pPr>
              <w:adjustRightInd w:val="0"/>
              <w:snapToGrid w:val="0"/>
              <w:jc w:val="center"/>
              <w:rPr>
                <w:rFonts w:ascii="宋体" w:hAnsi="宋体"/>
                <w:sz w:val="28"/>
                <w:szCs w:val="28"/>
              </w:rPr>
            </w:pPr>
            <w:r>
              <w:rPr>
                <w:rFonts w:hint="eastAsia" w:ascii="宋体" w:hAnsi="宋体"/>
                <w:sz w:val="28"/>
                <w:szCs w:val="28"/>
              </w:rPr>
              <w:t>焙炒咖啡</w:t>
            </w:r>
          </w:p>
        </w:tc>
        <w:tc>
          <w:tcPr>
            <w:tcW w:w="1701" w:type="dxa"/>
            <w:tcBorders>
              <w:tl2br w:val="nil"/>
              <w:tr2bl w:val="nil"/>
            </w:tcBorders>
            <w:noWrap/>
            <w:vAlign w:val="center"/>
          </w:tcPr>
          <w:p>
            <w:pPr>
              <w:adjustRightInd w:val="0"/>
              <w:snapToGrid w:val="0"/>
              <w:jc w:val="center"/>
              <w:rPr>
                <w:rFonts w:ascii="宋体" w:hAnsi="宋体"/>
                <w:sz w:val="28"/>
                <w:szCs w:val="28"/>
              </w:rPr>
            </w:pPr>
            <w:r>
              <w:rPr>
                <w:rFonts w:hint="eastAsia" w:ascii="宋体" w:hAnsi="宋体"/>
                <w:sz w:val="28"/>
                <w:szCs w:val="28"/>
              </w:rPr>
              <w:t>焙炒咖啡豆</w:t>
            </w:r>
          </w:p>
        </w:tc>
        <w:tc>
          <w:tcPr>
            <w:tcW w:w="2041" w:type="dxa"/>
            <w:tcBorders>
              <w:tl2br w:val="nil"/>
              <w:tr2bl w:val="nil"/>
            </w:tcBorders>
            <w:noWrap/>
            <w:vAlign w:val="center"/>
          </w:tcPr>
          <w:p>
            <w:pPr>
              <w:adjustRightInd w:val="0"/>
              <w:snapToGrid w:val="0"/>
              <w:jc w:val="center"/>
              <w:rPr>
                <w:rFonts w:ascii="宋体" w:hAnsi="宋体"/>
                <w:sz w:val="28"/>
                <w:szCs w:val="28"/>
              </w:rPr>
            </w:pPr>
            <w:r>
              <w:rPr>
                <w:rFonts w:hint="eastAsia" w:ascii="宋体" w:hAnsi="宋体"/>
                <w:sz w:val="28"/>
                <w:szCs w:val="28"/>
              </w:rPr>
              <w:t>生咖啡豆经焙炒所得的产品</w:t>
            </w:r>
          </w:p>
        </w:tc>
        <w:tc>
          <w:tcPr>
            <w:tcW w:w="1701" w:type="dxa"/>
            <w:tcBorders>
              <w:tl2br w:val="nil"/>
              <w:tr2bl w:val="nil"/>
            </w:tcBorders>
            <w:noWrap/>
            <w:vAlign w:val="center"/>
          </w:tcPr>
          <w:p>
            <w:pPr>
              <w:adjustRightInd w:val="0"/>
              <w:snapToGrid w:val="0"/>
              <w:jc w:val="center"/>
              <w:rPr>
                <w:rFonts w:ascii="宋体" w:hAnsi="宋体"/>
                <w:sz w:val="28"/>
                <w:szCs w:val="28"/>
              </w:rPr>
            </w:pPr>
            <w:r>
              <w:rPr>
                <w:rFonts w:hint="eastAsia" w:ascii="宋体" w:hAnsi="宋体"/>
                <w:sz w:val="28"/>
                <w:szCs w:val="28"/>
              </w:rPr>
              <w:t>开放式生产</w:t>
            </w:r>
          </w:p>
        </w:tc>
      </w:tr>
    </w:tbl>
    <w:p>
      <w:pPr>
        <w:overflowPunct w:val="0"/>
        <w:adjustRightInd w:val="0"/>
        <w:snapToGrid w:val="0"/>
        <w:spacing w:line="336" w:lineRule="auto"/>
        <w:rPr>
          <w:szCs w:val="30"/>
        </w:rPr>
      </w:pPr>
    </w:p>
    <w:p>
      <w:pPr>
        <w:overflowPunct w:val="0"/>
        <w:adjustRightInd w:val="0"/>
        <w:snapToGrid w:val="0"/>
        <w:spacing w:line="336" w:lineRule="auto"/>
        <w:rPr>
          <w:szCs w:val="30"/>
        </w:rPr>
      </w:pPr>
      <w:r>
        <w:rPr>
          <w:rFonts w:hint="eastAsia"/>
          <w:szCs w:val="30"/>
        </w:rPr>
        <w:br w:type="page"/>
      </w:r>
    </w:p>
    <w:p>
      <w:pPr>
        <w:tabs>
          <w:tab w:val="left" w:pos="790"/>
          <w:tab w:val="left" w:pos="1264"/>
        </w:tabs>
        <w:overflowPunct w:val="0"/>
        <w:adjustRightInd w:val="0"/>
        <w:snapToGrid w:val="0"/>
        <w:rPr>
          <w:rFonts w:ascii="黑体" w:eastAsia="黑体"/>
          <w:szCs w:val="30"/>
        </w:rPr>
      </w:pPr>
      <w:r>
        <w:rPr>
          <w:rFonts w:hint="eastAsia" w:ascii="黑体" w:eastAsia="黑体"/>
          <w:szCs w:val="30"/>
        </w:rPr>
        <w:t>附件2</w:t>
      </w:r>
    </w:p>
    <w:p>
      <w:pPr>
        <w:overflowPunct w:val="0"/>
        <w:adjustRightInd w:val="0"/>
        <w:snapToGrid w:val="0"/>
        <w:spacing w:line="336" w:lineRule="auto"/>
        <w:rPr>
          <w:szCs w:val="30"/>
        </w:rPr>
      </w:pPr>
    </w:p>
    <w:p>
      <w:pPr>
        <w:tabs>
          <w:tab w:val="left" w:pos="790"/>
        </w:tabs>
        <w:overflowPunct w:val="0"/>
        <w:adjustRightInd w:val="0"/>
        <w:snapToGrid w:val="0"/>
        <w:jc w:val="center"/>
        <w:rPr>
          <w:rFonts w:ascii="方正小标宋简体" w:hAnsi="宋体" w:eastAsia="方正小标宋简体"/>
          <w:sz w:val="44"/>
          <w:szCs w:val="44"/>
        </w:rPr>
      </w:pPr>
      <w:r>
        <w:rPr>
          <w:rFonts w:hint="eastAsia" w:ascii="方正小标宋简体" w:hAnsi="宋体" w:eastAsia="方正小标宋简体"/>
          <w:sz w:val="44"/>
          <w:szCs w:val="44"/>
        </w:rPr>
        <w:t>焙炒咖啡开放式生产基本工艺和设备</w:t>
      </w:r>
    </w:p>
    <w:p>
      <w:pPr>
        <w:overflowPunct w:val="0"/>
        <w:adjustRightInd w:val="0"/>
        <w:snapToGrid w:val="0"/>
        <w:spacing w:line="336" w:lineRule="auto"/>
        <w:rPr>
          <w:szCs w:val="30"/>
        </w:rPr>
      </w:pPr>
    </w:p>
    <w:tbl>
      <w:tblPr>
        <w:tblStyle w:val="5"/>
        <w:tblW w:w="88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361"/>
        <w:gridCol w:w="2268"/>
        <w:gridCol w:w="44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0" w:hRule="atLeast"/>
          <w:tblHeader/>
          <w:jc w:val="center"/>
        </w:trPr>
        <w:tc>
          <w:tcPr>
            <w:tcW w:w="794" w:type="dxa"/>
            <w:tcBorders>
              <w:tl2br w:val="nil"/>
              <w:tr2bl w:val="nil"/>
            </w:tcBorders>
            <w:noWrap/>
            <w:vAlign w:val="center"/>
          </w:tcPr>
          <w:p>
            <w:pPr>
              <w:adjustRightInd w:val="0"/>
              <w:snapToGrid w:val="0"/>
              <w:jc w:val="center"/>
              <w:rPr>
                <w:rFonts w:ascii="黑体" w:hAnsi="黑体" w:eastAsia="黑体" w:cs="黑体"/>
                <w:sz w:val="28"/>
                <w:szCs w:val="28"/>
              </w:rPr>
            </w:pPr>
            <w:r>
              <w:rPr>
                <w:rFonts w:hint="eastAsia" w:ascii="黑体" w:hAnsi="黑体" w:eastAsia="黑体" w:cs="黑体"/>
                <w:sz w:val="28"/>
                <w:szCs w:val="28"/>
              </w:rPr>
              <w:t>序号</w:t>
            </w:r>
          </w:p>
        </w:tc>
        <w:tc>
          <w:tcPr>
            <w:tcW w:w="1361" w:type="dxa"/>
            <w:tcBorders>
              <w:tl2br w:val="nil"/>
              <w:tr2bl w:val="nil"/>
            </w:tcBorders>
            <w:noWrap/>
            <w:vAlign w:val="center"/>
          </w:tcPr>
          <w:p>
            <w:pPr>
              <w:adjustRightInd w:val="0"/>
              <w:snapToGrid w:val="0"/>
              <w:jc w:val="center"/>
              <w:rPr>
                <w:rFonts w:ascii="黑体" w:hAnsi="黑体" w:eastAsia="黑体" w:cs="黑体"/>
                <w:sz w:val="28"/>
                <w:szCs w:val="28"/>
              </w:rPr>
            </w:pPr>
            <w:r>
              <w:rPr>
                <w:rFonts w:hint="eastAsia" w:ascii="黑体" w:hAnsi="黑体" w:eastAsia="黑体" w:cs="黑体"/>
                <w:sz w:val="28"/>
                <w:szCs w:val="28"/>
              </w:rPr>
              <w:t>基本生产工艺</w:t>
            </w:r>
          </w:p>
        </w:tc>
        <w:tc>
          <w:tcPr>
            <w:tcW w:w="2268" w:type="dxa"/>
            <w:tcBorders>
              <w:tl2br w:val="nil"/>
              <w:tr2bl w:val="nil"/>
            </w:tcBorders>
            <w:noWrap/>
            <w:vAlign w:val="center"/>
          </w:tcPr>
          <w:p>
            <w:pPr>
              <w:adjustRightInd w:val="0"/>
              <w:snapToGrid w:val="0"/>
              <w:jc w:val="center"/>
              <w:rPr>
                <w:rFonts w:ascii="黑体" w:hAnsi="黑体" w:eastAsia="黑体" w:cs="黑体"/>
                <w:sz w:val="28"/>
                <w:szCs w:val="28"/>
              </w:rPr>
            </w:pPr>
            <w:r>
              <w:rPr>
                <w:rFonts w:hint="eastAsia" w:ascii="黑体" w:hAnsi="黑体" w:eastAsia="黑体" w:cs="黑体"/>
                <w:sz w:val="28"/>
                <w:szCs w:val="28"/>
              </w:rPr>
              <w:t>生产设备</w:t>
            </w:r>
          </w:p>
        </w:tc>
        <w:tc>
          <w:tcPr>
            <w:tcW w:w="4422" w:type="dxa"/>
            <w:tcBorders>
              <w:tl2br w:val="nil"/>
              <w:tr2bl w:val="nil"/>
            </w:tcBorders>
            <w:noWrap/>
            <w:vAlign w:val="center"/>
          </w:tcPr>
          <w:p>
            <w:pPr>
              <w:adjustRightInd w:val="0"/>
              <w:snapToGrid w:val="0"/>
              <w:jc w:val="center"/>
              <w:rPr>
                <w:rFonts w:ascii="黑体" w:hAnsi="黑体" w:eastAsia="黑体" w:cs="黑体"/>
                <w:sz w:val="28"/>
                <w:szCs w:val="28"/>
              </w:rPr>
            </w:pPr>
            <w:r>
              <w:rPr>
                <w:rFonts w:hint="eastAsia" w:ascii="黑体" w:hAnsi="黑体" w:eastAsia="黑体" w:cs="黑体"/>
                <w:sz w:val="28"/>
                <w:szCs w:val="28"/>
              </w:rPr>
              <w:t>生产设备要求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4" w:hRule="atLeast"/>
          <w:jc w:val="center"/>
        </w:trPr>
        <w:tc>
          <w:tcPr>
            <w:tcW w:w="794" w:type="dxa"/>
            <w:tcBorders>
              <w:tl2br w:val="nil"/>
              <w:tr2bl w:val="nil"/>
            </w:tcBorders>
            <w:noWrap/>
            <w:vAlign w:val="center"/>
          </w:tcPr>
          <w:p>
            <w:pPr>
              <w:adjustRightInd w:val="0"/>
              <w:snapToGrid w:val="0"/>
              <w:jc w:val="center"/>
              <w:rPr>
                <w:rFonts w:hAnsi="仿宋_GB2312" w:cs="仿宋_GB2312"/>
                <w:sz w:val="28"/>
                <w:szCs w:val="28"/>
              </w:rPr>
            </w:pPr>
            <w:r>
              <w:rPr>
                <w:rFonts w:hint="eastAsia" w:hAnsi="仿宋_GB2312" w:cs="仿宋_GB2312"/>
                <w:sz w:val="28"/>
                <w:szCs w:val="28"/>
              </w:rPr>
              <w:t>1</w:t>
            </w:r>
          </w:p>
        </w:tc>
        <w:tc>
          <w:tcPr>
            <w:tcW w:w="1361" w:type="dxa"/>
            <w:tcBorders>
              <w:tl2br w:val="nil"/>
              <w:tr2bl w:val="nil"/>
            </w:tcBorders>
            <w:noWrap/>
            <w:vAlign w:val="center"/>
          </w:tcPr>
          <w:p>
            <w:pPr>
              <w:adjustRightInd w:val="0"/>
              <w:snapToGrid w:val="0"/>
              <w:jc w:val="center"/>
              <w:rPr>
                <w:rFonts w:hAnsi="仿宋_GB2312" w:cs="仿宋_GB2312"/>
                <w:sz w:val="28"/>
                <w:szCs w:val="28"/>
              </w:rPr>
            </w:pPr>
            <w:r>
              <w:rPr>
                <w:rFonts w:hint="eastAsia" w:hAnsi="仿宋_GB2312" w:cs="仿宋_GB2312"/>
                <w:sz w:val="28"/>
                <w:szCs w:val="28"/>
              </w:rPr>
              <w:t>清理</w:t>
            </w:r>
          </w:p>
        </w:tc>
        <w:tc>
          <w:tcPr>
            <w:tcW w:w="2268" w:type="dxa"/>
            <w:tcBorders>
              <w:tl2br w:val="nil"/>
              <w:tr2bl w:val="nil"/>
            </w:tcBorders>
            <w:noWrap/>
            <w:vAlign w:val="center"/>
          </w:tcPr>
          <w:p>
            <w:pPr>
              <w:adjustRightInd w:val="0"/>
              <w:snapToGrid w:val="0"/>
              <w:jc w:val="center"/>
              <w:rPr>
                <w:rFonts w:hAnsi="仿宋_GB2312" w:cs="仿宋_GB2312"/>
                <w:sz w:val="28"/>
                <w:szCs w:val="28"/>
              </w:rPr>
            </w:pPr>
            <w:r>
              <w:rPr>
                <w:rFonts w:hint="eastAsia" w:hAnsi="仿宋_GB2312" w:cs="仿宋_GB2312"/>
                <w:sz w:val="28"/>
                <w:szCs w:val="28"/>
              </w:rPr>
              <w:t>磁力筛选等原料清理设备</w:t>
            </w:r>
          </w:p>
        </w:tc>
        <w:tc>
          <w:tcPr>
            <w:tcW w:w="4422" w:type="dxa"/>
            <w:tcBorders>
              <w:tl2br w:val="nil"/>
              <w:tr2bl w:val="nil"/>
            </w:tcBorders>
            <w:noWrap/>
            <w:vAlign w:val="center"/>
          </w:tcPr>
          <w:p>
            <w:pPr>
              <w:adjustRightInd w:val="0"/>
              <w:snapToGrid w:val="0"/>
              <w:jc w:val="center"/>
              <w:rPr>
                <w:rFonts w:hAnsi="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4" w:hRule="atLeast"/>
          <w:jc w:val="center"/>
        </w:trPr>
        <w:tc>
          <w:tcPr>
            <w:tcW w:w="794" w:type="dxa"/>
            <w:tcBorders>
              <w:tl2br w:val="nil"/>
              <w:tr2bl w:val="nil"/>
            </w:tcBorders>
            <w:noWrap/>
            <w:vAlign w:val="center"/>
          </w:tcPr>
          <w:p>
            <w:pPr>
              <w:adjustRightInd w:val="0"/>
              <w:snapToGrid w:val="0"/>
              <w:jc w:val="center"/>
              <w:rPr>
                <w:rFonts w:hAnsi="仿宋_GB2312" w:cs="仿宋_GB2312"/>
                <w:sz w:val="28"/>
                <w:szCs w:val="28"/>
              </w:rPr>
            </w:pPr>
            <w:r>
              <w:rPr>
                <w:rFonts w:hint="eastAsia" w:hAnsi="仿宋_GB2312" w:cs="仿宋_GB2312"/>
                <w:sz w:val="28"/>
                <w:szCs w:val="28"/>
              </w:rPr>
              <w:t>2</w:t>
            </w:r>
          </w:p>
        </w:tc>
        <w:tc>
          <w:tcPr>
            <w:tcW w:w="1361" w:type="dxa"/>
            <w:tcBorders>
              <w:tl2br w:val="nil"/>
              <w:tr2bl w:val="nil"/>
            </w:tcBorders>
            <w:noWrap/>
            <w:vAlign w:val="center"/>
          </w:tcPr>
          <w:p>
            <w:pPr>
              <w:adjustRightInd w:val="0"/>
              <w:snapToGrid w:val="0"/>
              <w:jc w:val="center"/>
              <w:rPr>
                <w:rFonts w:hAnsi="仿宋_GB2312" w:cs="仿宋_GB2312"/>
                <w:sz w:val="28"/>
                <w:szCs w:val="28"/>
              </w:rPr>
            </w:pPr>
            <w:r>
              <w:rPr>
                <w:rFonts w:hint="eastAsia" w:hAnsi="仿宋_GB2312" w:cs="仿宋_GB2312"/>
                <w:sz w:val="28"/>
                <w:szCs w:val="28"/>
              </w:rPr>
              <w:t>调配</w:t>
            </w:r>
          </w:p>
        </w:tc>
        <w:tc>
          <w:tcPr>
            <w:tcW w:w="2268" w:type="dxa"/>
            <w:tcBorders>
              <w:tl2br w:val="nil"/>
              <w:tr2bl w:val="nil"/>
            </w:tcBorders>
            <w:noWrap/>
            <w:vAlign w:val="center"/>
          </w:tcPr>
          <w:p>
            <w:pPr>
              <w:adjustRightInd w:val="0"/>
              <w:snapToGrid w:val="0"/>
              <w:jc w:val="center"/>
              <w:rPr>
                <w:rFonts w:hAnsi="仿宋_GB2312" w:cs="仿宋_GB2312"/>
                <w:sz w:val="28"/>
                <w:szCs w:val="28"/>
              </w:rPr>
            </w:pPr>
            <w:r>
              <w:rPr>
                <w:rFonts w:hint="eastAsia" w:hAnsi="仿宋_GB2312" w:cs="仿宋_GB2312"/>
                <w:sz w:val="28"/>
                <w:szCs w:val="28"/>
              </w:rPr>
              <w:t>调配系统</w:t>
            </w:r>
          </w:p>
        </w:tc>
        <w:tc>
          <w:tcPr>
            <w:tcW w:w="4422" w:type="dxa"/>
            <w:tcBorders>
              <w:tl2br w:val="nil"/>
              <w:tr2bl w:val="nil"/>
            </w:tcBorders>
            <w:noWrap/>
            <w:vAlign w:val="center"/>
          </w:tcPr>
          <w:p>
            <w:pPr>
              <w:adjustRightInd w:val="0"/>
              <w:snapToGrid w:val="0"/>
              <w:jc w:val="center"/>
              <w:rPr>
                <w:rFonts w:hAnsi="仿宋_GB2312" w:cs="仿宋_GB2312"/>
                <w:sz w:val="28"/>
                <w:szCs w:val="28"/>
              </w:rPr>
            </w:pPr>
            <w:r>
              <w:rPr>
                <w:rFonts w:hint="eastAsia" w:hAnsi="仿宋_GB2312" w:cs="仿宋_GB2312"/>
                <w:sz w:val="28"/>
                <w:szCs w:val="28"/>
              </w:rPr>
              <w:t>自动调配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4" w:hRule="atLeast"/>
          <w:jc w:val="center"/>
        </w:trPr>
        <w:tc>
          <w:tcPr>
            <w:tcW w:w="794" w:type="dxa"/>
            <w:tcBorders>
              <w:tl2br w:val="nil"/>
              <w:tr2bl w:val="nil"/>
            </w:tcBorders>
            <w:noWrap/>
            <w:vAlign w:val="center"/>
          </w:tcPr>
          <w:p>
            <w:pPr>
              <w:adjustRightInd w:val="0"/>
              <w:snapToGrid w:val="0"/>
              <w:jc w:val="center"/>
              <w:rPr>
                <w:rFonts w:hAnsi="仿宋_GB2312" w:cs="仿宋_GB2312"/>
                <w:sz w:val="28"/>
                <w:szCs w:val="28"/>
              </w:rPr>
            </w:pPr>
            <w:r>
              <w:rPr>
                <w:rFonts w:hint="eastAsia" w:hAnsi="仿宋_GB2312" w:cs="仿宋_GB2312"/>
                <w:sz w:val="28"/>
                <w:szCs w:val="28"/>
              </w:rPr>
              <w:t>3</w:t>
            </w:r>
          </w:p>
        </w:tc>
        <w:tc>
          <w:tcPr>
            <w:tcW w:w="1361" w:type="dxa"/>
            <w:tcBorders>
              <w:tl2br w:val="nil"/>
              <w:tr2bl w:val="nil"/>
            </w:tcBorders>
            <w:noWrap/>
            <w:vAlign w:val="center"/>
          </w:tcPr>
          <w:p>
            <w:pPr>
              <w:adjustRightInd w:val="0"/>
              <w:snapToGrid w:val="0"/>
              <w:jc w:val="center"/>
              <w:rPr>
                <w:rFonts w:hAnsi="仿宋_GB2312" w:cs="仿宋_GB2312"/>
                <w:sz w:val="28"/>
                <w:szCs w:val="28"/>
              </w:rPr>
            </w:pPr>
            <w:r>
              <w:rPr>
                <w:rFonts w:hint="eastAsia" w:hAnsi="仿宋_GB2312" w:cs="仿宋_GB2312"/>
                <w:sz w:val="28"/>
                <w:szCs w:val="28"/>
              </w:rPr>
              <w:t>焙烤</w:t>
            </w:r>
          </w:p>
        </w:tc>
        <w:tc>
          <w:tcPr>
            <w:tcW w:w="2268" w:type="dxa"/>
            <w:tcBorders>
              <w:tl2br w:val="nil"/>
              <w:tr2bl w:val="nil"/>
            </w:tcBorders>
            <w:noWrap/>
            <w:vAlign w:val="center"/>
          </w:tcPr>
          <w:p>
            <w:pPr>
              <w:adjustRightInd w:val="0"/>
              <w:snapToGrid w:val="0"/>
              <w:jc w:val="center"/>
              <w:rPr>
                <w:rFonts w:hAnsi="仿宋_GB2312" w:cs="仿宋_GB2312"/>
                <w:sz w:val="28"/>
                <w:szCs w:val="28"/>
              </w:rPr>
            </w:pPr>
            <w:r>
              <w:rPr>
                <w:rFonts w:hint="eastAsia" w:hAnsi="仿宋_GB2312" w:cs="仿宋_GB2312"/>
                <w:sz w:val="28"/>
                <w:szCs w:val="28"/>
              </w:rPr>
              <w:t>咖啡烘焙机</w:t>
            </w:r>
          </w:p>
        </w:tc>
        <w:tc>
          <w:tcPr>
            <w:tcW w:w="4422" w:type="dxa"/>
            <w:tcBorders>
              <w:tl2br w:val="nil"/>
              <w:tr2bl w:val="nil"/>
            </w:tcBorders>
            <w:noWrap/>
            <w:vAlign w:val="center"/>
          </w:tcPr>
          <w:p>
            <w:pPr>
              <w:adjustRightInd w:val="0"/>
              <w:snapToGrid w:val="0"/>
              <w:jc w:val="center"/>
              <w:rPr>
                <w:rFonts w:hAnsi="仿宋_GB2312" w:cs="仿宋_GB2312"/>
                <w:sz w:val="28"/>
                <w:szCs w:val="28"/>
              </w:rPr>
            </w:pPr>
            <w:r>
              <w:rPr>
                <w:rFonts w:hint="eastAsia" w:hAnsi="仿宋_GB2312" w:cs="仿宋_GB2312"/>
                <w:sz w:val="28"/>
                <w:szCs w:val="28"/>
              </w:rPr>
              <w:t>带自动温度记录仪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4" w:hRule="atLeast"/>
          <w:jc w:val="center"/>
        </w:trPr>
        <w:tc>
          <w:tcPr>
            <w:tcW w:w="794" w:type="dxa"/>
            <w:tcBorders>
              <w:tl2br w:val="nil"/>
              <w:tr2bl w:val="nil"/>
            </w:tcBorders>
            <w:noWrap/>
            <w:vAlign w:val="center"/>
          </w:tcPr>
          <w:p>
            <w:pPr>
              <w:adjustRightInd w:val="0"/>
              <w:snapToGrid w:val="0"/>
              <w:jc w:val="center"/>
              <w:rPr>
                <w:rFonts w:hAnsi="仿宋_GB2312" w:cs="仿宋_GB2312"/>
                <w:sz w:val="28"/>
                <w:szCs w:val="28"/>
              </w:rPr>
            </w:pPr>
            <w:r>
              <w:rPr>
                <w:rFonts w:hint="eastAsia" w:hAnsi="仿宋_GB2312" w:cs="仿宋_GB2312"/>
                <w:sz w:val="28"/>
                <w:szCs w:val="28"/>
              </w:rPr>
              <w:t>4</w:t>
            </w:r>
          </w:p>
        </w:tc>
        <w:tc>
          <w:tcPr>
            <w:tcW w:w="1361" w:type="dxa"/>
            <w:tcBorders>
              <w:tl2br w:val="nil"/>
              <w:tr2bl w:val="nil"/>
            </w:tcBorders>
            <w:noWrap/>
            <w:vAlign w:val="center"/>
          </w:tcPr>
          <w:p>
            <w:pPr>
              <w:adjustRightInd w:val="0"/>
              <w:snapToGrid w:val="0"/>
              <w:jc w:val="center"/>
              <w:rPr>
                <w:rFonts w:hAnsi="仿宋_GB2312" w:cs="仿宋_GB2312"/>
                <w:sz w:val="28"/>
                <w:szCs w:val="28"/>
              </w:rPr>
            </w:pPr>
            <w:r>
              <w:rPr>
                <w:rFonts w:hint="eastAsia" w:hAnsi="仿宋_GB2312" w:cs="仿宋_GB2312"/>
                <w:sz w:val="28"/>
                <w:szCs w:val="28"/>
              </w:rPr>
              <w:t>冷却</w:t>
            </w:r>
          </w:p>
        </w:tc>
        <w:tc>
          <w:tcPr>
            <w:tcW w:w="2268" w:type="dxa"/>
            <w:tcBorders>
              <w:tl2br w:val="nil"/>
              <w:tr2bl w:val="nil"/>
            </w:tcBorders>
            <w:noWrap/>
            <w:vAlign w:val="center"/>
          </w:tcPr>
          <w:p>
            <w:pPr>
              <w:adjustRightInd w:val="0"/>
              <w:snapToGrid w:val="0"/>
              <w:jc w:val="center"/>
              <w:rPr>
                <w:rFonts w:hAnsi="仿宋_GB2312" w:cs="仿宋_GB2312"/>
                <w:sz w:val="28"/>
                <w:szCs w:val="28"/>
              </w:rPr>
            </w:pPr>
            <w:r>
              <w:rPr>
                <w:rFonts w:hint="eastAsia" w:hAnsi="仿宋_GB2312" w:cs="仿宋_GB2312"/>
                <w:sz w:val="28"/>
                <w:szCs w:val="28"/>
              </w:rPr>
              <w:t>咖啡冷却盘</w:t>
            </w:r>
          </w:p>
        </w:tc>
        <w:tc>
          <w:tcPr>
            <w:tcW w:w="4422" w:type="dxa"/>
            <w:tcBorders>
              <w:tl2br w:val="nil"/>
              <w:tr2bl w:val="nil"/>
            </w:tcBorders>
            <w:noWrap/>
            <w:vAlign w:val="center"/>
          </w:tcPr>
          <w:p>
            <w:pPr>
              <w:adjustRightInd w:val="0"/>
              <w:snapToGrid w:val="0"/>
              <w:jc w:val="center"/>
              <w:rPr>
                <w:rFonts w:hAnsi="仿宋_GB2312" w:cs="仿宋_GB2312"/>
                <w:sz w:val="28"/>
                <w:szCs w:val="28"/>
              </w:rPr>
            </w:pPr>
            <w:r>
              <w:rPr>
                <w:rFonts w:hint="eastAsia" w:hAnsi="仿宋_GB2312" w:cs="仿宋_GB2312"/>
                <w:sz w:val="28"/>
                <w:szCs w:val="28"/>
              </w:rPr>
              <w:t>冷却盘上方应设有防护板，防护板最低点设置应不高于生产区域与非生产区域间的透明防护设施高度，防护板面积应大于冷却盘，防止异物进入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4" w:hRule="atLeast"/>
          <w:jc w:val="center"/>
        </w:trPr>
        <w:tc>
          <w:tcPr>
            <w:tcW w:w="794" w:type="dxa"/>
            <w:tcBorders>
              <w:tl2br w:val="nil"/>
              <w:tr2bl w:val="nil"/>
            </w:tcBorders>
            <w:noWrap/>
            <w:vAlign w:val="center"/>
          </w:tcPr>
          <w:p>
            <w:pPr>
              <w:adjustRightInd w:val="0"/>
              <w:snapToGrid w:val="0"/>
              <w:jc w:val="center"/>
              <w:rPr>
                <w:rFonts w:hAnsi="仿宋_GB2312" w:cs="仿宋_GB2312"/>
                <w:sz w:val="28"/>
                <w:szCs w:val="28"/>
              </w:rPr>
            </w:pPr>
            <w:r>
              <w:rPr>
                <w:rFonts w:hint="eastAsia" w:hAnsi="仿宋_GB2312" w:cs="仿宋_GB2312"/>
                <w:sz w:val="28"/>
                <w:szCs w:val="28"/>
              </w:rPr>
              <w:t>5</w:t>
            </w:r>
          </w:p>
        </w:tc>
        <w:tc>
          <w:tcPr>
            <w:tcW w:w="1361" w:type="dxa"/>
            <w:tcBorders>
              <w:tl2br w:val="nil"/>
              <w:tr2bl w:val="nil"/>
            </w:tcBorders>
            <w:noWrap/>
            <w:vAlign w:val="center"/>
          </w:tcPr>
          <w:p>
            <w:pPr>
              <w:adjustRightInd w:val="0"/>
              <w:snapToGrid w:val="0"/>
              <w:jc w:val="center"/>
              <w:rPr>
                <w:rFonts w:hAnsi="仿宋_GB2312" w:cs="仿宋_GB2312"/>
                <w:sz w:val="28"/>
                <w:szCs w:val="28"/>
              </w:rPr>
            </w:pPr>
            <w:r>
              <w:rPr>
                <w:rFonts w:hint="eastAsia" w:hAnsi="仿宋_GB2312" w:cs="仿宋_GB2312"/>
                <w:sz w:val="28"/>
                <w:szCs w:val="28"/>
              </w:rPr>
              <w:t>除石</w:t>
            </w:r>
          </w:p>
        </w:tc>
        <w:tc>
          <w:tcPr>
            <w:tcW w:w="2268" w:type="dxa"/>
            <w:tcBorders>
              <w:tl2br w:val="nil"/>
              <w:tr2bl w:val="nil"/>
            </w:tcBorders>
            <w:noWrap/>
            <w:vAlign w:val="center"/>
          </w:tcPr>
          <w:p>
            <w:pPr>
              <w:adjustRightInd w:val="0"/>
              <w:snapToGrid w:val="0"/>
              <w:jc w:val="center"/>
              <w:rPr>
                <w:rFonts w:hAnsi="仿宋_GB2312" w:cs="仿宋_GB2312"/>
                <w:sz w:val="28"/>
                <w:szCs w:val="28"/>
              </w:rPr>
            </w:pPr>
            <w:r>
              <w:rPr>
                <w:rFonts w:hint="eastAsia" w:hAnsi="仿宋_GB2312" w:cs="仿宋_GB2312"/>
                <w:sz w:val="28"/>
                <w:szCs w:val="28"/>
              </w:rPr>
              <w:t>除石机（可选）</w:t>
            </w:r>
          </w:p>
        </w:tc>
        <w:tc>
          <w:tcPr>
            <w:tcW w:w="4422" w:type="dxa"/>
            <w:tcBorders>
              <w:tl2br w:val="nil"/>
              <w:tr2bl w:val="nil"/>
            </w:tcBorders>
            <w:noWrap/>
            <w:vAlign w:val="center"/>
          </w:tcPr>
          <w:p>
            <w:pPr>
              <w:adjustRightInd w:val="0"/>
              <w:snapToGrid w:val="0"/>
              <w:jc w:val="center"/>
              <w:rPr>
                <w:rFonts w:hAnsi="仿宋_GB2312" w:cs="仿宋_GB2312"/>
                <w:sz w:val="28"/>
                <w:szCs w:val="28"/>
              </w:rPr>
            </w:pPr>
            <w:bookmarkStart w:id="0" w:name="OLE_LINK8"/>
            <w:bookmarkStart w:id="1" w:name="OLE_LINK7"/>
            <w:bookmarkStart w:id="2" w:name="OLE_LINK5"/>
            <w:r>
              <w:rPr>
                <w:rFonts w:hint="eastAsia" w:hAnsi="仿宋_GB2312" w:cs="仿宋_GB2312"/>
                <w:sz w:val="28"/>
                <w:szCs w:val="28"/>
              </w:rPr>
              <w:t>可去除密度大于0.8g/ml的异物</w:t>
            </w:r>
            <w:bookmarkEnd w:id="0"/>
            <w:bookmarkEnd w:id="1"/>
            <w:bookmarkEnd w:id="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4" w:hRule="atLeast"/>
          <w:jc w:val="center"/>
        </w:trPr>
        <w:tc>
          <w:tcPr>
            <w:tcW w:w="794" w:type="dxa"/>
            <w:tcBorders>
              <w:tl2br w:val="nil"/>
              <w:tr2bl w:val="nil"/>
            </w:tcBorders>
            <w:noWrap/>
            <w:vAlign w:val="center"/>
          </w:tcPr>
          <w:p>
            <w:pPr>
              <w:adjustRightInd w:val="0"/>
              <w:snapToGrid w:val="0"/>
              <w:jc w:val="center"/>
              <w:rPr>
                <w:rFonts w:hAnsi="仿宋_GB2312" w:cs="仿宋_GB2312"/>
                <w:sz w:val="28"/>
                <w:szCs w:val="28"/>
              </w:rPr>
            </w:pPr>
            <w:r>
              <w:rPr>
                <w:rFonts w:hint="eastAsia" w:hAnsi="仿宋_GB2312" w:cs="仿宋_GB2312"/>
                <w:sz w:val="28"/>
                <w:szCs w:val="28"/>
              </w:rPr>
              <w:t>6</w:t>
            </w:r>
          </w:p>
        </w:tc>
        <w:tc>
          <w:tcPr>
            <w:tcW w:w="1361" w:type="dxa"/>
            <w:tcBorders>
              <w:tl2br w:val="nil"/>
              <w:tr2bl w:val="nil"/>
            </w:tcBorders>
            <w:noWrap/>
            <w:vAlign w:val="center"/>
          </w:tcPr>
          <w:p>
            <w:pPr>
              <w:adjustRightInd w:val="0"/>
              <w:snapToGrid w:val="0"/>
              <w:jc w:val="center"/>
              <w:rPr>
                <w:rFonts w:hAnsi="仿宋_GB2312" w:cs="仿宋_GB2312"/>
                <w:sz w:val="28"/>
                <w:szCs w:val="28"/>
              </w:rPr>
            </w:pPr>
            <w:r>
              <w:rPr>
                <w:rFonts w:hint="eastAsia" w:hAnsi="仿宋_GB2312" w:cs="仿宋_GB2312"/>
                <w:sz w:val="28"/>
                <w:szCs w:val="28"/>
              </w:rPr>
              <w:t>包装</w:t>
            </w:r>
          </w:p>
        </w:tc>
        <w:tc>
          <w:tcPr>
            <w:tcW w:w="2268" w:type="dxa"/>
            <w:tcBorders>
              <w:tl2br w:val="nil"/>
              <w:tr2bl w:val="nil"/>
            </w:tcBorders>
            <w:noWrap/>
            <w:vAlign w:val="center"/>
          </w:tcPr>
          <w:p>
            <w:pPr>
              <w:adjustRightInd w:val="0"/>
              <w:snapToGrid w:val="0"/>
              <w:jc w:val="center"/>
              <w:rPr>
                <w:rFonts w:hAnsi="仿宋_GB2312" w:cs="仿宋_GB2312"/>
                <w:sz w:val="28"/>
                <w:szCs w:val="28"/>
              </w:rPr>
            </w:pPr>
            <w:r>
              <w:rPr>
                <w:rFonts w:hint="eastAsia" w:hAnsi="仿宋_GB2312" w:cs="仿宋_GB2312"/>
                <w:sz w:val="28"/>
                <w:szCs w:val="28"/>
              </w:rPr>
              <w:t>自动咖啡包装机</w:t>
            </w:r>
          </w:p>
        </w:tc>
        <w:tc>
          <w:tcPr>
            <w:tcW w:w="4422" w:type="dxa"/>
            <w:tcBorders>
              <w:tl2br w:val="nil"/>
              <w:tr2bl w:val="nil"/>
            </w:tcBorders>
            <w:noWrap/>
            <w:vAlign w:val="center"/>
          </w:tcPr>
          <w:p>
            <w:pPr>
              <w:adjustRightInd w:val="0"/>
              <w:snapToGrid w:val="0"/>
              <w:jc w:val="center"/>
              <w:rPr>
                <w:rFonts w:hAnsi="仿宋_GB2312" w:cs="仿宋_GB2312"/>
                <w:sz w:val="28"/>
                <w:szCs w:val="28"/>
              </w:rPr>
            </w:pPr>
            <w:r>
              <w:rPr>
                <w:rFonts w:hint="eastAsia" w:hAnsi="仿宋_GB2312" w:cs="仿宋_GB2312"/>
                <w:sz w:val="28"/>
                <w:szCs w:val="28"/>
              </w:rPr>
              <w:t>包装设备应带有自动质量计量和校正系统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4" w:hRule="atLeast"/>
          <w:jc w:val="center"/>
        </w:trPr>
        <w:tc>
          <w:tcPr>
            <w:tcW w:w="794" w:type="dxa"/>
            <w:tcBorders>
              <w:tl2br w:val="nil"/>
              <w:tr2bl w:val="nil"/>
            </w:tcBorders>
            <w:noWrap/>
            <w:vAlign w:val="center"/>
          </w:tcPr>
          <w:p>
            <w:pPr>
              <w:adjustRightInd w:val="0"/>
              <w:snapToGrid w:val="0"/>
              <w:jc w:val="center"/>
              <w:rPr>
                <w:rFonts w:hAnsi="仿宋_GB2312" w:cs="仿宋_GB2312"/>
                <w:sz w:val="28"/>
                <w:szCs w:val="28"/>
              </w:rPr>
            </w:pPr>
            <w:r>
              <w:rPr>
                <w:rFonts w:hint="eastAsia" w:hAnsi="仿宋_GB2312" w:cs="仿宋_GB2312"/>
                <w:sz w:val="28"/>
                <w:szCs w:val="28"/>
              </w:rPr>
              <w:t>7</w:t>
            </w:r>
          </w:p>
        </w:tc>
        <w:tc>
          <w:tcPr>
            <w:tcW w:w="1361" w:type="dxa"/>
            <w:tcBorders>
              <w:tl2br w:val="nil"/>
              <w:tr2bl w:val="nil"/>
            </w:tcBorders>
            <w:noWrap/>
            <w:vAlign w:val="center"/>
          </w:tcPr>
          <w:p>
            <w:pPr>
              <w:adjustRightInd w:val="0"/>
              <w:snapToGrid w:val="0"/>
              <w:jc w:val="center"/>
              <w:rPr>
                <w:rFonts w:hAnsi="仿宋_GB2312" w:cs="仿宋_GB2312"/>
                <w:sz w:val="28"/>
                <w:szCs w:val="28"/>
              </w:rPr>
            </w:pPr>
            <w:r>
              <w:rPr>
                <w:rFonts w:hint="eastAsia" w:hAnsi="仿宋_GB2312" w:cs="仿宋_GB2312"/>
                <w:sz w:val="28"/>
                <w:szCs w:val="28"/>
              </w:rPr>
              <w:t>成品异物检测</w:t>
            </w:r>
          </w:p>
        </w:tc>
        <w:tc>
          <w:tcPr>
            <w:tcW w:w="2268" w:type="dxa"/>
            <w:tcBorders>
              <w:tl2br w:val="nil"/>
              <w:tr2bl w:val="nil"/>
            </w:tcBorders>
            <w:noWrap/>
            <w:vAlign w:val="center"/>
          </w:tcPr>
          <w:p>
            <w:pPr>
              <w:adjustRightInd w:val="0"/>
              <w:snapToGrid w:val="0"/>
              <w:jc w:val="center"/>
              <w:rPr>
                <w:rFonts w:hAnsi="仿宋_GB2312" w:cs="仿宋_GB2312"/>
                <w:sz w:val="28"/>
                <w:szCs w:val="28"/>
              </w:rPr>
            </w:pPr>
            <w:r>
              <w:rPr>
                <w:rFonts w:hint="eastAsia" w:hAnsi="仿宋_GB2312" w:cs="仿宋_GB2312"/>
                <w:sz w:val="28"/>
                <w:szCs w:val="28"/>
              </w:rPr>
              <w:t>金属探测仪、X-光质量检测仪等异物检测设备</w:t>
            </w:r>
          </w:p>
        </w:tc>
        <w:tc>
          <w:tcPr>
            <w:tcW w:w="4422" w:type="dxa"/>
            <w:tcBorders>
              <w:tl2br w:val="nil"/>
              <w:tr2bl w:val="nil"/>
            </w:tcBorders>
            <w:noWrap/>
            <w:vAlign w:val="center"/>
          </w:tcPr>
          <w:p>
            <w:pPr>
              <w:adjustRightInd w:val="0"/>
              <w:snapToGrid w:val="0"/>
              <w:jc w:val="center"/>
              <w:rPr>
                <w:rFonts w:hAnsi="仿宋_GB2312" w:cs="仿宋_GB2312"/>
                <w:sz w:val="28"/>
                <w:szCs w:val="28"/>
              </w:rPr>
            </w:pPr>
            <w:r>
              <w:rPr>
                <w:rFonts w:hint="eastAsia" w:hAnsi="仿宋_GB2312" w:cs="仿宋_GB2312"/>
                <w:sz w:val="28"/>
                <w:szCs w:val="28"/>
              </w:rPr>
              <w:t>自动控制，能检测出球径≥2mm金属、玻璃等异物</w:t>
            </w:r>
          </w:p>
        </w:tc>
      </w:tr>
    </w:tbl>
    <w:p>
      <w:pPr>
        <w:overflowPunct w:val="0"/>
        <w:adjustRightInd w:val="0"/>
        <w:snapToGrid w:val="0"/>
        <w:spacing w:line="336" w:lineRule="auto"/>
        <w:rPr>
          <w:szCs w:val="30"/>
        </w:rPr>
      </w:pPr>
    </w:p>
    <w:p>
      <w:pPr>
        <w:overflowPunct w:val="0"/>
        <w:adjustRightInd w:val="0"/>
        <w:snapToGrid w:val="0"/>
        <w:spacing w:line="336" w:lineRule="auto"/>
        <w:rPr>
          <w:szCs w:val="30"/>
        </w:rPr>
        <w:sectPr>
          <w:footerReference r:id="rId3" w:type="default"/>
          <w:footerReference r:id="rId4" w:type="even"/>
          <w:pgSz w:w="11906" w:h="16838"/>
          <w:pgMar w:top="2098" w:right="1474" w:bottom="1984" w:left="1587" w:header="851" w:footer="1417" w:gutter="0"/>
          <w:cols w:space="0" w:num="1"/>
          <w:docGrid w:type="linesAndChars" w:linePitch="579" w:charSpace="-842"/>
        </w:sectPr>
      </w:pPr>
    </w:p>
    <w:p>
      <w:pPr>
        <w:overflowPunct w:val="0"/>
        <w:adjustRightInd w:val="0"/>
        <w:snapToGrid w:val="0"/>
        <w:spacing w:line="336" w:lineRule="auto"/>
        <w:rPr>
          <w:szCs w:val="30"/>
        </w:rPr>
      </w:pPr>
    </w:p>
    <w:p>
      <w:pPr>
        <w:rPr>
          <w:szCs w:val="30"/>
        </w:rPr>
      </w:pPr>
      <w:r>
        <w:rPr>
          <w:rFonts w:hint="eastAsia"/>
          <w:szCs w:val="30"/>
        </w:rPr>
        <w:br w:type="page"/>
      </w:r>
    </w:p>
    <w:p>
      <w:pPr>
        <w:overflowPunct w:val="0"/>
        <w:adjustRightInd w:val="0"/>
        <w:snapToGrid w:val="0"/>
        <w:spacing w:line="336" w:lineRule="auto"/>
        <w:rPr>
          <w:szCs w:val="30"/>
        </w:rPr>
      </w:pPr>
    </w:p>
    <w:p>
      <w:pPr>
        <w:rPr>
          <w:szCs w:val="30"/>
        </w:rPr>
      </w:pPr>
      <w:r>
        <w:rPr>
          <w:rFonts w:hint="eastAsia"/>
          <w:szCs w:val="30"/>
        </w:rPr>
        <w:br w:type="page"/>
      </w: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after="140" w:line="336" w:lineRule="auto"/>
        <w:rPr>
          <w:szCs w:val="30"/>
        </w:rPr>
      </w:pPr>
    </w:p>
    <w:p>
      <w:pPr>
        <w:overflowPunct w:val="0"/>
        <w:adjustRightInd w:val="0"/>
        <w:snapToGrid w:val="0"/>
        <w:spacing w:line="336" w:lineRule="auto"/>
        <w:ind w:firstLine="284"/>
        <w:rPr>
          <w:rFonts w:hAnsi="宋体"/>
          <w:sz w:val="28"/>
          <w:szCs w:val="28"/>
        </w:rPr>
      </w:pPr>
      <w:r>
        <w:rPr>
          <w:sz w:val="28"/>
          <w:szCs w:val="28"/>
        </w:rPr>
        <mc:AlternateContent>
          <mc:Choice Requires="wps">
            <w:drawing>
              <wp:anchor distT="0" distB="0" distL="114300" distR="114300" simplePos="0" relativeHeight="251667456" behindDoc="0" locked="1" layoutInCell="1" allowOverlap="1">
                <wp:simplePos x="0" y="0"/>
                <wp:positionH relativeFrom="column">
                  <wp:posOffset>0</wp:posOffset>
                </wp:positionH>
                <wp:positionV relativeFrom="paragraph">
                  <wp:posOffset>262890</wp:posOffset>
                </wp:positionV>
                <wp:extent cx="5615940" cy="0"/>
                <wp:effectExtent l="0" t="0" r="0" b="0"/>
                <wp:wrapNone/>
                <wp:docPr id="3" name="直线 3"/>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直线 3" o:spid="_x0000_s1026" o:spt="20" style="position:absolute;left:0pt;margin-left:0pt;margin-top:20.7pt;height:0pt;width:442.2pt;z-index:251667456;mso-width-relative:page;mso-height-relative:page;" filled="f" stroked="t" coordsize="21600,21600" o:gfxdata="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N6AYMdUAAAAG&#10;AQAADwAAAAAAAAABACAAAAA4AAAAZHJzL2Rvd25yZXYueG1sUEsBAhQAFAAAAAgAh07iQAjtC/DQ&#10;AQAAkQMAAA4AAAAAAAAAAQAgAAAAOgEAAGRycy9lMm9Eb2MueG1sUEsFBgAAAAAGAAYAWQEAAHwF&#10;AAAAAA==&#10;">
                <v:fill on="f" focussize="0,0"/>
                <v:stroke weight="1pt" color="#000000" joinstyle="round"/>
                <v:imagedata o:title=""/>
                <o:lock v:ext="edit" aspectratio="f"/>
                <w10:anchorlock/>
              </v:line>
            </w:pict>
          </mc:Fallback>
        </mc:AlternateContent>
      </w:r>
      <w:r>
        <w:rPr>
          <w:sz w:val="28"/>
          <w:szCs w:val="28"/>
        </w:rPr>
        <mc:AlternateContent>
          <mc:Choice Requires="wps">
            <w:drawing>
              <wp:anchor distT="0" distB="0" distL="114300" distR="114300" simplePos="0" relativeHeight="251666432" behindDoc="0" locked="1" layoutInCell="1" allowOverlap="1">
                <wp:simplePos x="0" y="0"/>
                <wp:positionH relativeFrom="column">
                  <wp:posOffset>0</wp:posOffset>
                </wp:positionH>
                <wp:positionV relativeFrom="paragraph">
                  <wp:posOffset>-50165</wp:posOffset>
                </wp:positionV>
                <wp:extent cx="5615940" cy="0"/>
                <wp:effectExtent l="0" t="0" r="0" b="0"/>
                <wp:wrapNone/>
                <wp:docPr id="2" name="直线 4"/>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直线 4" o:spid="_x0000_s1026" o:spt="20" style="position:absolute;left:0pt;margin-left:0pt;margin-top:-3.95pt;height:0pt;width:442.2pt;z-index:251666432;mso-width-relative:page;mso-height-relative:page;" filled="f" stroked="t" coordsize="21600,21600" o:gfxdata="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LILFldYAAAAG&#10;AQAADwAAAAAAAAABACAAAAA4AAAAZHJzL2Rvd25yZXYueG1sUEsBAhQAFAAAAAgAh07iQK5slGHP&#10;AQAAkQMAAA4AAAAAAAAAAQAgAAAAOwEAAGRycy9lMm9Eb2MueG1sUEsFBgAAAAAGAAYAWQEAAHwF&#10;AAAAAA==&#10;">
                <v:fill on="f" focussize="0,0"/>
                <v:stroke weight="1pt" color="#000000" joinstyle="round"/>
                <v:imagedata o:title=""/>
                <o:lock v:ext="edit" aspectratio="f"/>
                <w10:anchorlock/>
              </v:line>
            </w:pict>
          </mc:Fallback>
        </mc:AlternateContent>
      </w:r>
      <w:r>
        <w:rPr>
          <w:rFonts w:hint="eastAsia" w:hAnsi="宋体"/>
          <w:sz w:val="28"/>
          <w:szCs w:val="28"/>
        </w:rPr>
        <w:t>上海市市场监督管理局办公室</w:t>
      </w:r>
      <w:r>
        <w:rPr>
          <w:rFonts w:hint="eastAsia" w:hAnsi="宋体"/>
          <w:spacing w:val="-2"/>
          <w:sz w:val="28"/>
          <w:szCs w:val="28"/>
        </w:rPr>
        <w:t xml:space="preserve">               </w:t>
      </w:r>
      <w:r>
        <w:rPr>
          <w:rFonts w:hint="eastAsia" w:hAnsi="宋体"/>
          <w:sz w:val="28"/>
          <w:szCs w:val="28"/>
        </w:rPr>
        <w:t>202</w:t>
      </w:r>
      <w:r>
        <w:rPr>
          <w:rFonts w:hAnsi="宋体"/>
          <w:sz w:val="28"/>
          <w:szCs w:val="28"/>
        </w:rPr>
        <w:t>2</w:t>
      </w:r>
      <w:r>
        <w:rPr>
          <w:rFonts w:hint="eastAsia" w:hAnsi="宋体"/>
          <w:sz w:val="28"/>
          <w:szCs w:val="28"/>
        </w:rPr>
        <w:t>年</w:t>
      </w:r>
      <w:r>
        <w:rPr>
          <w:rFonts w:hAnsi="宋体"/>
          <w:sz w:val="28"/>
          <w:szCs w:val="28"/>
        </w:rPr>
        <w:t>7</w:t>
      </w:r>
      <w:r>
        <w:rPr>
          <w:rFonts w:hint="eastAsia" w:hAnsi="宋体"/>
          <w:sz w:val="28"/>
          <w:szCs w:val="28"/>
        </w:rPr>
        <w:t>月</w:t>
      </w:r>
      <w:r>
        <w:rPr>
          <w:rFonts w:hAnsi="宋体"/>
          <w:sz w:val="28"/>
          <w:szCs w:val="28"/>
        </w:rPr>
        <w:t>15</w:t>
      </w:r>
      <w:r>
        <w:rPr>
          <w:rFonts w:hint="eastAsia" w:hAnsi="宋体"/>
          <w:sz w:val="28"/>
          <w:szCs w:val="28"/>
        </w:rPr>
        <w:t xml:space="preserve">日印发  </w:t>
      </w:r>
    </w:p>
    <w:sectPr>
      <w:footerReference r:id="rId5" w:type="default"/>
      <w:footerReference r:id="rId6" w:type="even"/>
      <w:pgSz w:w="11906" w:h="16838"/>
      <w:pgMar w:top="2098" w:right="1474" w:bottom="1984" w:left="1587" w:header="851" w:footer="1417" w:gutter="0"/>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12" w:right="312"/>
      <w:jc w:val="right"/>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w:instrText>
    </w:r>
    <w:r>
      <w:rPr>
        <w:rFonts w:hint="eastAsia" w:ascii="宋体" w:hAnsi="宋体" w:eastAsia="宋体"/>
        <w:sz w:val="28"/>
        <w:szCs w:val="28"/>
      </w:rPr>
      <w:fldChar w:fldCharType="separate"/>
    </w:r>
    <w:r>
      <w:rPr>
        <w:rFonts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12" w:right="312"/>
      <w:jc w:val="both"/>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w:instrText>
    </w:r>
    <w:r>
      <w:rPr>
        <w:rFonts w:hint="eastAsia" w:ascii="宋体" w:hAnsi="宋体" w:eastAsia="宋体"/>
        <w:sz w:val="28"/>
        <w:szCs w:val="28"/>
      </w:rPr>
      <w:fldChar w:fldCharType="separate"/>
    </w:r>
    <w:r>
      <w:rPr>
        <w:rFonts w:ascii="宋体" w:hAnsi="宋体" w:eastAsia="宋体"/>
        <w:sz w:val="28"/>
        <w:szCs w:val="28"/>
      </w:rPr>
      <w:t>8</w:t>
    </w:r>
    <w:r>
      <w:rPr>
        <w:rFonts w:hint="eastAsia" w:ascii="宋体" w:hAnsi="宋体" w:eastAsia="宋体"/>
        <w:sz w:val="28"/>
        <w:szCs w:val="28"/>
      </w:rPr>
      <w:fldChar w:fldCharType="end"/>
    </w:r>
    <w:r>
      <w:rPr>
        <w:rFonts w:hint="eastAsia" w:ascii="宋体" w:hAnsi="宋体" w:eastAsia="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12" w:right="312"/>
      <w:jc w:val="right"/>
      <w:rPr>
        <w:rFonts w:ascii="宋体" w:hAnsi="宋体" w:eastAsia="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12" w:right="312"/>
      <w:jc w:val="both"/>
      <w:rPr>
        <w:rFonts w:ascii="宋体" w:hAnsi="宋体" w:eastAsia="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true"/>
  <w:bordersDoNotSurroundFooter w:val="true"/>
  <w:documentProtection w:enforcement="0"/>
  <w:defaultTabStop w:val="420"/>
  <w:evenAndOddHeaders w:val="true"/>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41020"/>
    <w:rsid w:val="003205C5"/>
    <w:rsid w:val="004C7A2D"/>
    <w:rsid w:val="005161F2"/>
    <w:rsid w:val="006D4B4B"/>
    <w:rsid w:val="008675A6"/>
    <w:rsid w:val="00BF50E4"/>
    <w:rsid w:val="0FF3311D"/>
    <w:rsid w:val="2A341020"/>
    <w:rsid w:val="5FFD0375"/>
    <w:rsid w:val="CFFB0A7F"/>
    <w:rsid w:val="E7576628"/>
    <w:rsid w:val="EDFFEB08"/>
    <w:rsid w:val="F7BF5E86"/>
    <w:rsid w:val="FB7E03B9"/>
    <w:rsid w:val="FFC39339"/>
    <w:rsid w:val="FFEE77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3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2690</Words>
  <Characters>295</Characters>
  <Lines>2</Lines>
  <Paragraphs>5</Paragraphs>
  <TotalTime>73</TotalTime>
  <ScaleCrop>false</ScaleCrop>
  <LinksUpToDate>false</LinksUpToDate>
  <CharactersWithSpaces>2980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2022-07-07T16:14:00Z</dcterms:created>
  <dc:creator>scjuser</dc:creator>
  <cp:lastModifiedBy>scjuser</cp:lastModifiedBy>
  <cp:lastPrinted>2023-01-19T22:35:00Z</cp:lastPrinted>
  <dcterms:modified xsi:type="dcterms:W3CDTF">2023-02-08T16:06:35Z</dcterms:modified>
  <dc:title>上海市市场监督管理局关于发布</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