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Style w:val="3"/>
        <w:spacing w:after="0" w:line="400" w:lineRule="exact"/>
        <w:ind w:firstLine="640"/>
      </w:pPr>
    </w:p>
    <w:p>
      <w:pPr>
        <w:spacing w:line="400" w:lineRule="exact"/>
        <w:jc w:val="center"/>
        <w:rPr>
          <w:rFonts w:ascii="方正小标宋简体" w:eastAsia="方正小标宋简体"/>
          <w:sz w:val="36"/>
          <w:szCs w:val="36"/>
        </w:rPr>
      </w:pPr>
      <w:r>
        <w:rPr>
          <w:rFonts w:hint="eastAsia" w:ascii="方正小标宋简体" w:eastAsia="方正小标宋简体"/>
          <w:sz w:val="36"/>
          <w:szCs w:val="36"/>
        </w:rPr>
        <w:t>《上海市水务局贯彻落实第三轮中央生态环境保护督察报告整改方案》</w:t>
      </w:r>
    </w:p>
    <w:p>
      <w:pPr>
        <w:spacing w:line="400" w:lineRule="exact"/>
        <w:jc w:val="center"/>
        <w:rPr>
          <w:rFonts w:hint="eastAsia" w:ascii="方正小标宋简体" w:eastAsia="方正小标宋简体"/>
          <w:sz w:val="36"/>
          <w:szCs w:val="36"/>
          <w:lang w:eastAsia="zh-CN"/>
        </w:rPr>
      </w:pPr>
      <w:r>
        <w:rPr>
          <w:rFonts w:hint="eastAsia" w:ascii="方正小标宋简体" w:eastAsia="方正小标宋简体"/>
          <w:sz w:val="36"/>
          <w:szCs w:val="36"/>
        </w:rPr>
        <w:t>局内任务分工表</w:t>
      </w:r>
    </w:p>
    <w:tbl>
      <w:tblPr>
        <w:tblStyle w:val="16"/>
        <w:tblW w:w="15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1223"/>
        <w:gridCol w:w="1350"/>
        <w:gridCol w:w="773"/>
        <w:gridCol w:w="844"/>
        <w:gridCol w:w="825"/>
        <w:gridCol w:w="3178"/>
        <w:gridCol w:w="863"/>
        <w:gridCol w:w="1040"/>
        <w:gridCol w:w="1538"/>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35" w:type="dxa"/>
            <w:vMerge w:val="restart"/>
            <w:noWrap w:val="0"/>
            <w:vAlign w:val="center"/>
          </w:tcPr>
          <w:p>
            <w:pPr>
              <w:widowControl/>
              <w:spacing w:line="300" w:lineRule="exact"/>
              <w:jc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问题</w:t>
            </w:r>
          </w:p>
        </w:tc>
        <w:tc>
          <w:tcPr>
            <w:tcW w:w="1223" w:type="dxa"/>
            <w:vMerge w:val="restart"/>
            <w:noWrap w:val="0"/>
            <w:vAlign w:val="center"/>
          </w:tcPr>
          <w:p>
            <w:pPr>
              <w:widowControl/>
              <w:spacing w:line="300" w:lineRule="exact"/>
              <w:jc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整改验收单位和整改实施主体</w:t>
            </w:r>
          </w:p>
        </w:tc>
        <w:tc>
          <w:tcPr>
            <w:tcW w:w="1350" w:type="dxa"/>
            <w:vMerge w:val="restart"/>
            <w:noWrap w:val="0"/>
            <w:vAlign w:val="center"/>
          </w:tcPr>
          <w:p>
            <w:pPr>
              <w:widowControl/>
              <w:spacing w:line="300" w:lineRule="exact"/>
              <w:jc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整改目标</w:t>
            </w:r>
          </w:p>
        </w:tc>
        <w:tc>
          <w:tcPr>
            <w:tcW w:w="773" w:type="dxa"/>
            <w:vMerge w:val="restart"/>
            <w:noWrap w:val="0"/>
            <w:vAlign w:val="center"/>
          </w:tcPr>
          <w:p>
            <w:pPr>
              <w:widowControl/>
              <w:spacing w:line="300" w:lineRule="exact"/>
              <w:jc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整改时限</w:t>
            </w:r>
          </w:p>
        </w:tc>
        <w:tc>
          <w:tcPr>
            <w:tcW w:w="844" w:type="dxa"/>
            <w:vMerge w:val="restart"/>
            <w:noWrap w:val="0"/>
            <w:vAlign w:val="center"/>
          </w:tcPr>
          <w:p>
            <w:pPr>
              <w:widowControl/>
              <w:spacing w:line="300" w:lineRule="exact"/>
              <w:jc w:val="center"/>
              <w:rPr>
                <w:rFonts w:hint="eastAsia" w:ascii="仿宋_GB2312" w:hAnsi="仿宋_GB2312" w:eastAsia="仿宋_GB2312" w:cs="仿宋_GB2312"/>
                <w:b/>
                <w:bCs/>
                <w:color w:val="000000"/>
                <w:kern w:val="0"/>
                <w:sz w:val="20"/>
                <w:szCs w:val="20"/>
                <w:lang w:val="en-US" w:eastAsia="zh-CN"/>
              </w:rPr>
            </w:pPr>
            <w:r>
              <w:rPr>
                <w:rFonts w:hint="eastAsia" w:ascii="仿宋_GB2312" w:hAnsi="仿宋_GB2312" w:eastAsia="仿宋_GB2312" w:cs="仿宋_GB2312"/>
                <w:b/>
                <w:bCs/>
                <w:color w:val="000000"/>
                <w:kern w:val="0"/>
                <w:sz w:val="20"/>
                <w:szCs w:val="20"/>
                <w:lang w:val="en-US" w:eastAsia="zh-CN"/>
              </w:rPr>
              <w:t>局内牵头部门</w:t>
            </w:r>
          </w:p>
        </w:tc>
        <w:tc>
          <w:tcPr>
            <w:tcW w:w="825" w:type="dxa"/>
            <w:vMerge w:val="restart"/>
            <w:noWrap w:val="0"/>
            <w:vAlign w:val="center"/>
          </w:tcPr>
          <w:p>
            <w:pPr>
              <w:widowControl/>
              <w:spacing w:line="300" w:lineRule="exact"/>
              <w:jc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序号</w:t>
            </w:r>
          </w:p>
        </w:tc>
        <w:tc>
          <w:tcPr>
            <w:tcW w:w="3178" w:type="dxa"/>
            <w:vMerge w:val="restart"/>
            <w:noWrap w:val="0"/>
            <w:vAlign w:val="center"/>
          </w:tcPr>
          <w:p>
            <w:pPr>
              <w:widowControl/>
              <w:spacing w:line="300" w:lineRule="exact"/>
              <w:jc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整改措施</w:t>
            </w:r>
          </w:p>
        </w:tc>
        <w:tc>
          <w:tcPr>
            <w:tcW w:w="863" w:type="dxa"/>
            <w:vMerge w:val="restart"/>
            <w:noWrap w:val="0"/>
            <w:vAlign w:val="center"/>
          </w:tcPr>
          <w:p>
            <w:pPr>
              <w:widowControl/>
              <w:spacing w:line="300" w:lineRule="exact"/>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市级</w:t>
            </w:r>
          </w:p>
          <w:p>
            <w:pPr>
              <w:widowControl/>
              <w:spacing w:line="300" w:lineRule="exact"/>
              <w:jc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部门</w:t>
            </w:r>
          </w:p>
        </w:tc>
        <w:tc>
          <w:tcPr>
            <w:tcW w:w="3781" w:type="dxa"/>
            <w:gridSpan w:val="3"/>
            <w:noWrap w:val="0"/>
            <w:vAlign w:val="center"/>
          </w:tcPr>
          <w:p>
            <w:pPr>
              <w:widowControl/>
              <w:spacing w:line="300" w:lineRule="exact"/>
              <w:jc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局内分工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blHeader/>
          <w:jc w:val="center"/>
        </w:trPr>
        <w:tc>
          <w:tcPr>
            <w:tcW w:w="2435" w:type="dxa"/>
            <w:vMerge w:val="continue"/>
            <w:noWrap w:val="0"/>
            <w:vAlign w:val="center"/>
          </w:tcPr>
          <w:p>
            <w:pPr>
              <w:widowControl/>
              <w:spacing w:line="300" w:lineRule="exact"/>
              <w:jc w:val="center"/>
              <w:rPr>
                <w:rFonts w:ascii="仿宋_GB2312" w:hAnsi="仿宋_GB2312" w:eastAsia="仿宋_GB2312" w:cs="仿宋_GB2312"/>
                <w:b/>
                <w:bCs/>
                <w:color w:val="000000"/>
                <w:kern w:val="0"/>
                <w:sz w:val="20"/>
                <w:szCs w:val="20"/>
              </w:rPr>
            </w:pPr>
          </w:p>
        </w:tc>
        <w:tc>
          <w:tcPr>
            <w:tcW w:w="1223" w:type="dxa"/>
            <w:vMerge w:val="continue"/>
            <w:noWrap w:val="0"/>
            <w:vAlign w:val="center"/>
          </w:tcPr>
          <w:p>
            <w:pPr>
              <w:widowControl/>
              <w:spacing w:line="300" w:lineRule="exact"/>
              <w:jc w:val="center"/>
              <w:rPr>
                <w:rFonts w:ascii="仿宋_GB2312" w:hAnsi="仿宋_GB2312" w:eastAsia="仿宋_GB2312" w:cs="仿宋_GB2312"/>
                <w:b/>
                <w:bCs/>
                <w:color w:val="000000"/>
                <w:kern w:val="0"/>
                <w:sz w:val="20"/>
                <w:szCs w:val="20"/>
              </w:rPr>
            </w:pPr>
          </w:p>
        </w:tc>
        <w:tc>
          <w:tcPr>
            <w:tcW w:w="1350" w:type="dxa"/>
            <w:vMerge w:val="continue"/>
            <w:noWrap w:val="0"/>
            <w:vAlign w:val="center"/>
          </w:tcPr>
          <w:p>
            <w:pPr>
              <w:widowControl/>
              <w:spacing w:line="300" w:lineRule="exact"/>
              <w:jc w:val="center"/>
              <w:rPr>
                <w:rFonts w:ascii="仿宋_GB2312" w:hAnsi="仿宋_GB2312" w:eastAsia="仿宋_GB2312" w:cs="仿宋_GB2312"/>
                <w:b/>
                <w:bCs/>
                <w:color w:val="000000"/>
                <w:kern w:val="0"/>
                <w:sz w:val="20"/>
                <w:szCs w:val="20"/>
              </w:rPr>
            </w:pPr>
          </w:p>
        </w:tc>
        <w:tc>
          <w:tcPr>
            <w:tcW w:w="773" w:type="dxa"/>
            <w:vMerge w:val="continue"/>
            <w:noWrap w:val="0"/>
            <w:vAlign w:val="center"/>
          </w:tcPr>
          <w:p>
            <w:pPr>
              <w:widowControl/>
              <w:spacing w:line="300" w:lineRule="exact"/>
              <w:jc w:val="center"/>
              <w:rPr>
                <w:rFonts w:ascii="仿宋_GB2312" w:hAnsi="仿宋_GB2312" w:eastAsia="仿宋_GB2312" w:cs="仿宋_GB2312"/>
                <w:b/>
                <w:bCs/>
                <w:color w:val="000000"/>
                <w:kern w:val="0"/>
                <w:sz w:val="20"/>
                <w:szCs w:val="20"/>
              </w:rPr>
            </w:pPr>
          </w:p>
        </w:tc>
        <w:tc>
          <w:tcPr>
            <w:tcW w:w="844" w:type="dxa"/>
            <w:vMerge w:val="continue"/>
            <w:noWrap w:val="0"/>
            <w:vAlign w:val="center"/>
          </w:tcPr>
          <w:p>
            <w:pPr>
              <w:widowControl/>
              <w:spacing w:line="300" w:lineRule="exact"/>
              <w:jc w:val="center"/>
              <w:rPr>
                <w:rFonts w:ascii="仿宋_GB2312" w:hAnsi="仿宋_GB2312" w:eastAsia="仿宋_GB2312" w:cs="仿宋_GB2312"/>
                <w:b/>
                <w:bCs/>
                <w:color w:val="000000"/>
                <w:kern w:val="0"/>
                <w:sz w:val="20"/>
                <w:szCs w:val="20"/>
              </w:rPr>
            </w:pPr>
          </w:p>
        </w:tc>
        <w:tc>
          <w:tcPr>
            <w:tcW w:w="825" w:type="dxa"/>
            <w:vMerge w:val="continue"/>
            <w:noWrap w:val="0"/>
            <w:vAlign w:val="center"/>
          </w:tcPr>
          <w:p>
            <w:pPr>
              <w:widowControl/>
              <w:spacing w:line="300" w:lineRule="exact"/>
              <w:jc w:val="center"/>
              <w:rPr>
                <w:rFonts w:ascii="仿宋_GB2312" w:hAnsi="仿宋_GB2312" w:eastAsia="仿宋_GB2312" w:cs="仿宋_GB2312"/>
                <w:b/>
                <w:bCs/>
                <w:color w:val="000000"/>
                <w:kern w:val="0"/>
                <w:sz w:val="20"/>
                <w:szCs w:val="20"/>
              </w:rPr>
            </w:pPr>
          </w:p>
        </w:tc>
        <w:tc>
          <w:tcPr>
            <w:tcW w:w="3178" w:type="dxa"/>
            <w:vMerge w:val="continue"/>
            <w:noWrap w:val="0"/>
            <w:vAlign w:val="center"/>
          </w:tcPr>
          <w:p>
            <w:pPr>
              <w:widowControl/>
              <w:spacing w:line="300" w:lineRule="exact"/>
              <w:rPr>
                <w:rFonts w:ascii="仿宋_GB2312" w:hAnsi="仿宋_GB2312" w:eastAsia="仿宋_GB2312" w:cs="仿宋_GB2312"/>
                <w:b/>
                <w:bCs/>
                <w:color w:val="000000"/>
                <w:kern w:val="0"/>
                <w:sz w:val="20"/>
                <w:szCs w:val="20"/>
              </w:rPr>
            </w:pPr>
          </w:p>
        </w:tc>
        <w:tc>
          <w:tcPr>
            <w:tcW w:w="863" w:type="dxa"/>
            <w:vMerge w:val="continue"/>
            <w:noWrap w:val="0"/>
            <w:vAlign w:val="center"/>
          </w:tcPr>
          <w:p>
            <w:pPr>
              <w:widowControl/>
              <w:spacing w:line="300" w:lineRule="exact"/>
              <w:jc w:val="center"/>
              <w:rPr>
                <w:rFonts w:ascii="仿宋_GB2312" w:hAnsi="仿宋_GB2312" w:eastAsia="仿宋_GB2312" w:cs="仿宋_GB2312"/>
                <w:b/>
                <w:bCs/>
                <w:color w:val="000000"/>
                <w:kern w:val="0"/>
                <w:sz w:val="20"/>
                <w:szCs w:val="20"/>
              </w:rPr>
            </w:pPr>
          </w:p>
        </w:tc>
        <w:tc>
          <w:tcPr>
            <w:tcW w:w="1040" w:type="dxa"/>
            <w:noWrap w:val="0"/>
            <w:vAlign w:val="center"/>
          </w:tcPr>
          <w:p>
            <w:pPr>
              <w:widowControl/>
              <w:spacing w:line="300" w:lineRule="exact"/>
              <w:jc w:val="center"/>
              <w:rPr>
                <w:rFonts w:hint="eastAsia" w:ascii="仿宋_GB2312" w:hAnsi="仿宋_GB2312" w:eastAsia="仿宋_GB2312" w:cs="仿宋_GB2312"/>
                <w:b/>
                <w:bCs/>
                <w:color w:val="000000"/>
                <w:kern w:val="0"/>
                <w:sz w:val="20"/>
                <w:szCs w:val="20"/>
                <w:lang w:eastAsia="zh-CN"/>
              </w:rPr>
            </w:pPr>
            <w:r>
              <w:rPr>
                <w:rFonts w:hint="eastAsia" w:ascii="仿宋_GB2312" w:hAnsi="仿宋_GB2312" w:eastAsia="仿宋_GB2312" w:cs="仿宋_GB2312"/>
                <w:b/>
                <w:bCs/>
                <w:color w:val="000000"/>
                <w:kern w:val="0"/>
                <w:sz w:val="20"/>
                <w:szCs w:val="20"/>
                <w:lang w:eastAsia="zh-CN"/>
              </w:rPr>
              <w:t>分管领导</w:t>
            </w:r>
          </w:p>
        </w:tc>
        <w:tc>
          <w:tcPr>
            <w:tcW w:w="1538" w:type="dxa"/>
            <w:noWrap w:val="0"/>
            <w:vAlign w:val="center"/>
          </w:tcPr>
          <w:p>
            <w:pPr>
              <w:widowControl/>
              <w:spacing w:line="300" w:lineRule="exact"/>
              <w:jc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局内牵头部门</w:t>
            </w:r>
          </w:p>
        </w:tc>
        <w:tc>
          <w:tcPr>
            <w:tcW w:w="1203" w:type="dxa"/>
            <w:noWrap w:val="0"/>
            <w:vAlign w:val="center"/>
          </w:tcPr>
          <w:p>
            <w:pPr>
              <w:widowControl/>
              <w:spacing w:line="300" w:lineRule="exact"/>
              <w:jc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落实部门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435" w:type="dxa"/>
            <w:vMerge w:val="restart"/>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b/>
                <w:bCs/>
                <w:sz w:val="20"/>
                <w:szCs w:val="20"/>
                <w:lang w:val="en-US" w:eastAsia="zh-CN"/>
              </w:rPr>
              <w:t>7.</w:t>
            </w:r>
            <w:r>
              <w:rPr>
                <w:rFonts w:hint="eastAsia" w:ascii="仿宋_GB2312" w:hAnsi="仿宋_GB2312" w:eastAsia="仿宋_GB2312" w:cs="仿宋_GB2312"/>
                <w:b/>
                <w:bCs/>
                <w:sz w:val="20"/>
                <w:szCs w:val="20"/>
              </w:rPr>
              <w:t>污水收集处理仍有短板。</w:t>
            </w:r>
            <w:r>
              <w:rPr>
                <w:rFonts w:hint="eastAsia" w:ascii="仿宋_GB2312" w:hAnsi="仿宋_GB2312" w:eastAsia="仿宋_GB2312" w:cs="仿宋_GB2312"/>
                <w:sz w:val="20"/>
                <w:szCs w:val="20"/>
              </w:rPr>
              <w:t>上海市作为超大城市，应在城市管网建设、雨污分流等方面发挥带头作用。但督察发现，上海市部分区域污水管网建设不完善，雨污分流不到位，存在污水溢流外排。市水务部门和相关区对系统解决污水溢流直排问题推进落实不力。据统计，2023年全市仍有3500余万吨污水直排长江，其中位于浦东新区的白龙港污水处理厂溢流外排污水超2500万吨，许多晴天仍有污水溢流外排，在长江江面形成黑色污染带，散发臭味，群众反应强烈。此外，受雨污混合水排江影响，虬江、桃浦河等河道反复出现雨季水质恶化现象。</w:t>
            </w:r>
          </w:p>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污水处理提质增效工作推进缓慢。国家有关部门印发的《城镇污水处理提质增效三年行动方案（2019—2021年）》要求，城市污水处理厂进水生化需氧量浓度低于100毫克/升的，要围绕服务片区管网制定“一厂一策”系统化整治方案，明确整治目标和措施。上海市要求，2021年全市所有城镇污水处理厂进水生化需氧量浓度不低于100毫克/升。督察发现，一些地区雨污混接改造、污水管网检测修复等工作推进不力，污水处理厂进水浓度长期偏低。2023年，全市仍有15座城镇污水处理厂进水生化需氧量浓度低于100毫克/升。青浦区10座城镇污水处理厂中有7座未达目标要求，其中商榻污水处理厂2023年进水生化需氧量平均浓度仅49.8毫克/升。督察还发现，一些污水处理厂受超标纳管的高浓度废水冲击，运行受到严重影响，出水超标。2021年以来，松江东部污水处理厂进水浓度超过设计标准限值700余次，2022年12月，该厂因连续多日高浓度进水，造成大量活性污泥死亡，生化系统瘫痪，数十万吨污水超标排放。</w:t>
            </w:r>
          </w:p>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农村生活污水处理仍有薄弱环节。督察组抽测了青浦区4套农村生活污水处理设施，出水全部超标。其中，三塘村1号处理站出水化学需氧量浓度为281毫克/升、氨氮浓度为31.3毫克/升、总磷浓度为5.7毫克/升，分别超《上海市农村生活污水出水水质暂行规定》一级标准3.7倍、2.9倍和4.7倍。松江区新中村存在3处污水管网破损渗漏点，污水经灌溉渠排入河道，灌溉渠内水体黑臭，周边村民反映强烈。浦东新区星光村部分生活污水未经处理直排河道，河边臭味严重。经监测，入河污水化学需氧量浓度为349毫克/升、氨氮浓度为62.3毫克/升、总磷浓度为3毫克/升，分别超地表水环境质量Ⅲ类标准16.5倍、61.3倍和14倍。</w:t>
            </w:r>
          </w:p>
        </w:tc>
        <w:tc>
          <w:tcPr>
            <w:tcW w:w="1223" w:type="dxa"/>
            <w:vMerge w:val="restart"/>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b/>
                <w:bCs/>
                <w:sz w:val="20"/>
                <w:szCs w:val="20"/>
              </w:rPr>
              <w:t>整改验收单位：</w:t>
            </w:r>
            <w:r>
              <w:rPr>
                <w:rFonts w:hint="eastAsia" w:ascii="仿宋_GB2312" w:hAnsi="仿宋_GB2312" w:eastAsia="仿宋_GB2312" w:cs="仿宋_GB2312"/>
                <w:sz w:val="20"/>
                <w:szCs w:val="20"/>
              </w:rPr>
              <w:t>市水务局</w:t>
            </w:r>
          </w:p>
          <w:p>
            <w:pPr>
              <w:pStyle w:val="3"/>
              <w:ind w:firstLine="640"/>
            </w:pPr>
          </w:p>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b/>
                <w:bCs/>
                <w:sz w:val="20"/>
                <w:szCs w:val="20"/>
              </w:rPr>
              <w:t>整改实施主体：</w:t>
            </w:r>
            <w:r>
              <w:rPr>
                <w:rFonts w:hint="eastAsia" w:ascii="仿宋_GB2312" w:hAnsi="仿宋_GB2312" w:eastAsia="仿宋_GB2312" w:cs="仿宋_GB2312"/>
                <w:sz w:val="20"/>
                <w:szCs w:val="20"/>
              </w:rPr>
              <w:t>市水务局、市生态环境局、市农业农村委、各区党委和政府、临港新片区管委会、城投集团</w:t>
            </w:r>
          </w:p>
        </w:tc>
        <w:tc>
          <w:tcPr>
            <w:tcW w:w="1350" w:type="dxa"/>
            <w:vMerge w:val="restart"/>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着力补齐污水基础设施短板，新增约90万立方米/日污水处理能力、30万立方米污水调蓄能力、40万立方米初雨调蓄能力，提升厂站网精细化运行管理水平，实现污水系统提质增效，提升污水处理厂进水浓度，有效管控污水处理厂溢流和防汛泵站雨天放江污染，加强污水处理厂进水管控，保障出水水质稳定达标。全面完成督察发现的青浦区、松江区、浦东新区农村生活污水治理问题的整改工作，完善全市农村生活污水长效监管机制。</w:t>
            </w:r>
          </w:p>
        </w:tc>
        <w:tc>
          <w:tcPr>
            <w:tcW w:w="773" w:type="dxa"/>
            <w:vMerge w:val="restart"/>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2026年12月</w:t>
            </w:r>
          </w:p>
        </w:tc>
        <w:tc>
          <w:tcPr>
            <w:tcW w:w="844" w:type="dxa"/>
            <w:vMerge w:val="restart"/>
            <w:noWrap w:val="0"/>
            <w:vAlign w:val="center"/>
          </w:tcPr>
          <w:p>
            <w:pPr>
              <w:spacing w:line="30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局河长处</w:t>
            </w:r>
          </w:p>
        </w:tc>
        <w:tc>
          <w:tcPr>
            <w:tcW w:w="825" w:type="dxa"/>
            <w:noWrap w:val="0"/>
            <w:vAlign w:val="center"/>
          </w:tcPr>
          <w:p>
            <w:pPr>
              <w:spacing w:line="300" w:lineRule="exact"/>
              <w:jc w:val="center"/>
              <w:rPr>
                <w:rFonts w:ascii="黑体" w:hAnsi="黑体" w:eastAsia="黑体" w:cs="黑体"/>
                <w:sz w:val="20"/>
                <w:szCs w:val="20"/>
              </w:rPr>
            </w:pPr>
            <w:r>
              <w:rPr>
                <w:rFonts w:hint="eastAsia" w:ascii="黑体" w:hAnsi="黑体" w:eastAsia="黑体" w:cs="黑体"/>
                <w:sz w:val="20"/>
                <w:szCs w:val="20"/>
              </w:rPr>
              <w:t>一</w:t>
            </w:r>
          </w:p>
        </w:tc>
        <w:tc>
          <w:tcPr>
            <w:tcW w:w="7822" w:type="dxa"/>
            <w:gridSpan w:val="5"/>
            <w:noWrap w:val="0"/>
            <w:vAlign w:val="center"/>
          </w:tcPr>
          <w:p>
            <w:pPr>
              <w:spacing w:line="300" w:lineRule="exact"/>
              <w:rPr>
                <w:rFonts w:hint="eastAsia" w:ascii="黑体" w:hAnsi="黑体" w:eastAsia="黑体" w:cs="黑体"/>
                <w:sz w:val="20"/>
                <w:szCs w:val="20"/>
              </w:rPr>
            </w:pPr>
            <w:r>
              <w:rPr>
                <w:rFonts w:hint="eastAsia" w:ascii="黑体" w:hAnsi="黑体" w:eastAsia="黑体" w:cs="黑体"/>
                <w:sz w:val="20"/>
                <w:szCs w:val="20"/>
              </w:rPr>
              <w:t>强化污水处理厂溢流管控。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（一）</w:t>
            </w:r>
          </w:p>
        </w:tc>
        <w:tc>
          <w:tcPr>
            <w:tcW w:w="3178" w:type="dxa"/>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加快推进污水基础设施建设，2025年6月，泰和污水处理厂扩建工程（20万立方米/日）通水并完成核验；2025年12月，白龙港污水处理厂调蓄池（30万立方米）通水验收；2026年6月，白龙港污水处理厂三期工程水处理部分（70万立方米/日）通水并完成核验。</w:t>
            </w:r>
          </w:p>
        </w:tc>
        <w:tc>
          <w:tcPr>
            <w:tcW w:w="863" w:type="dxa"/>
            <w:vMerge w:val="restart"/>
            <w:noWrap w:val="0"/>
            <w:vAlign w:val="center"/>
          </w:tcPr>
          <w:p>
            <w:pPr>
              <w:spacing w:line="300" w:lineRule="exact"/>
              <w:jc w:val="center"/>
              <w:rPr>
                <w:rFonts w:ascii="仿宋_GB2312" w:hAnsi="仿宋_GB2312" w:eastAsia="仿宋_GB2312" w:cs="仿宋_GB2312"/>
                <w:b/>
                <w:bCs/>
                <w:sz w:val="20"/>
                <w:szCs w:val="20"/>
              </w:rPr>
            </w:pPr>
            <w:r>
              <w:rPr>
                <w:rFonts w:hint="eastAsia" w:ascii="仿宋_GB2312" w:hAnsi="仿宋_GB2312" w:eastAsia="仿宋_GB2312" w:cs="仿宋_GB2312"/>
                <w:sz w:val="20"/>
                <w:szCs w:val="20"/>
              </w:rPr>
              <w:t>市水务局、相关区党委和政府、城投集团</w:t>
            </w:r>
          </w:p>
        </w:tc>
        <w:tc>
          <w:tcPr>
            <w:tcW w:w="1040" w:type="dxa"/>
            <w:noWrap w:val="0"/>
            <w:vAlign w:val="center"/>
          </w:tcPr>
          <w:p>
            <w:pPr>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高昊旻</w:t>
            </w:r>
          </w:p>
        </w:tc>
        <w:tc>
          <w:tcPr>
            <w:tcW w:w="1538"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局建管处</w:t>
            </w:r>
          </w:p>
        </w:tc>
        <w:tc>
          <w:tcPr>
            <w:tcW w:w="1203" w:type="dxa"/>
            <w:noWrap w:val="0"/>
            <w:vAlign w:val="center"/>
          </w:tcPr>
          <w:p>
            <w:pPr>
              <w:spacing w:line="300" w:lineRule="exact"/>
              <w:jc w:val="center"/>
              <w:rPr>
                <w:rFonts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vMerge w:val="restart"/>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（二）</w:t>
            </w:r>
          </w:p>
        </w:tc>
        <w:tc>
          <w:tcPr>
            <w:tcW w:w="3178" w:type="dxa"/>
            <w:vMerge w:val="restart"/>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2026年12月，针对竹园、白龙港污水处理厂服务范围内17个雨天增量明显污水泵站服务区域，完成雨污混接普查整治和排水管道检测修复。</w:t>
            </w:r>
          </w:p>
        </w:tc>
        <w:tc>
          <w:tcPr>
            <w:tcW w:w="863" w:type="dxa"/>
            <w:vMerge w:val="continue"/>
            <w:noWrap w:val="0"/>
            <w:vAlign w:val="center"/>
          </w:tcPr>
          <w:p>
            <w:pPr>
              <w:spacing w:line="300" w:lineRule="exact"/>
              <w:jc w:val="center"/>
              <w:rPr>
                <w:rFonts w:ascii="仿宋_GB2312" w:hAnsi="仿宋_GB2312" w:eastAsia="仿宋_GB2312" w:cs="仿宋_GB2312"/>
                <w:sz w:val="20"/>
                <w:szCs w:val="20"/>
              </w:rPr>
            </w:pPr>
          </w:p>
        </w:tc>
        <w:tc>
          <w:tcPr>
            <w:tcW w:w="1040" w:type="dxa"/>
            <w:noWrap w:val="0"/>
            <w:vAlign w:val="center"/>
          </w:tcPr>
          <w:p>
            <w:pPr>
              <w:spacing w:line="30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李琳</w:t>
            </w:r>
          </w:p>
        </w:tc>
        <w:tc>
          <w:tcPr>
            <w:tcW w:w="1538" w:type="dxa"/>
            <w:noWrap w:val="0"/>
            <w:vAlign w:val="center"/>
          </w:tcPr>
          <w:p>
            <w:pPr>
              <w:spacing w:line="30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局河长处</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雨污混接普查整治</w:t>
            </w:r>
            <w:r>
              <w:rPr>
                <w:rFonts w:hint="eastAsia" w:ascii="仿宋_GB2312" w:hAnsi="仿宋_GB2312" w:eastAsia="仿宋_GB2312" w:cs="仿宋_GB2312"/>
                <w:sz w:val="20"/>
                <w:szCs w:val="20"/>
                <w:lang w:eastAsia="zh-CN"/>
              </w:rPr>
              <w:t>）</w:t>
            </w:r>
          </w:p>
        </w:tc>
        <w:tc>
          <w:tcPr>
            <w:tcW w:w="1203" w:type="dxa"/>
            <w:vMerge w:val="restart"/>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排水事务中心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435" w:type="dxa"/>
            <w:vMerge w:val="continue"/>
            <w:noWrap w:val="0"/>
            <w:vAlign w:val="center"/>
          </w:tcPr>
          <w:p>
            <w:pPr>
              <w:spacing w:line="300" w:lineRule="exact"/>
              <w:jc w:val="center"/>
            </w:pPr>
          </w:p>
        </w:tc>
        <w:tc>
          <w:tcPr>
            <w:tcW w:w="1223" w:type="dxa"/>
            <w:vMerge w:val="continue"/>
            <w:noWrap w:val="0"/>
            <w:vAlign w:val="center"/>
          </w:tcPr>
          <w:p>
            <w:pPr>
              <w:spacing w:line="300" w:lineRule="exact"/>
              <w:jc w:val="center"/>
            </w:pPr>
          </w:p>
        </w:tc>
        <w:tc>
          <w:tcPr>
            <w:tcW w:w="1350" w:type="dxa"/>
            <w:vMerge w:val="continue"/>
            <w:noWrap w:val="0"/>
            <w:vAlign w:val="center"/>
          </w:tcPr>
          <w:p>
            <w:pPr>
              <w:spacing w:line="300" w:lineRule="exact"/>
              <w:jc w:val="center"/>
            </w:pPr>
          </w:p>
        </w:tc>
        <w:tc>
          <w:tcPr>
            <w:tcW w:w="773" w:type="dxa"/>
            <w:vMerge w:val="continue"/>
            <w:noWrap w:val="0"/>
            <w:vAlign w:val="center"/>
          </w:tcPr>
          <w:p>
            <w:pPr>
              <w:spacing w:line="300" w:lineRule="exact"/>
              <w:jc w:val="center"/>
            </w:pPr>
          </w:p>
        </w:tc>
        <w:tc>
          <w:tcPr>
            <w:tcW w:w="844" w:type="dxa"/>
            <w:vMerge w:val="continue"/>
            <w:noWrap w:val="0"/>
            <w:vAlign w:val="center"/>
          </w:tcPr>
          <w:p>
            <w:pPr>
              <w:spacing w:line="300" w:lineRule="exact"/>
              <w:jc w:val="center"/>
            </w:pPr>
          </w:p>
        </w:tc>
        <w:tc>
          <w:tcPr>
            <w:tcW w:w="825" w:type="dxa"/>
            <w:vMerge w:val="continue"/>
            <w:noWrap w:val="0"/>
            <w:vAlign w:val="center"/>
          </w:tcPr>
          <w:p>
            <w:pPr>
              <w:spacing w:line="300" w:lineRule="exact"/>
              <w:jc w:val="center"/>
            </w:pPr>
          </w:p>
        </w:tc>
        <w:tc>
          <w:tcPr>
            <w:tcW w:w="3178" w:type="dxa"/>
            <w:vMerge w:val="continue"/>
            <w:noWrap w:val="0"/>
            <w:vAlign w:val="center"/>
          </w:tcPr>
          <w:p>
            <w:pPr>
              <w:spacing w:line="300" w:lineRule="exact"/>
              <w:jc w:val="center"/>
            </w:pPr>
          </w:p>
        </w:tc>
        <w:tc>
          <w:tcPr>
            <w:tcW w:w="863" w:type="dxa"/>
            <w:vMerge w:val="continue"/>
            <w:noWrap w:val="0"/>
            <w:vAlign w:val="center"/>
          </w:tcPr>
          <w:p>
            <w:pPr>
              <w:spacing w:line="300" w:lineRule="exact"/>
              <w:jc w:val="center"/>
            </w:pPr>
          </w:p>
        </w:tc>
        <w:tc>
          <w:tcPr>
            <w:tcW w:w="1040" w:type="dxa"/>
            <w:noWrap w:val="0"/>
            <w:vAlign w:val="center"/>
          </w:tcPr>
          <w:p>
            <w:pPr>
              <w:spacing w:line="30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庄兴岳</w:t>
            </w:r>
          </w:p>
        </w:tc>
        <w:tc>
          <w:tcPr>
            <w:tcW w:w="1538" w:type="dxa"/>
            <w:noWrap w:val="0"/>
            <w:vAlign w:val="center"/>
          </w:tcPr>
          <w:p>
            <w:pPr>
              <w:spacing w:line="30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局运管处</w:t>
            </w:r>
            <w:r>
              <w:rPr>
                <w:rFonts w:hint="eastAsia" w:ascii="仿宋_GB2312" w:hAnsi="仿宋_GB2312" w:eastAsia="仿宋_GB2312" w:cs="仿宋_GB2312"/>
                <w:sz w:val="20"/>
                <w:szCs w:val="20"/>
                <w:lang w:eastAsia="zh-CN"/>
              </w:rPr>
              <w:t>（滚动推进</w:t>
            </w:r>
            <w:r>
              <w:rPr>
                <w:rFonts w:hint="eastAsia" w:ascii="仿宋_GB2312" w:hAnsi="仿宋_GB2312" w:eastAsia="仿宋_GB2312" w:cs="仿宋_GB2312"/>
                <w:sz w:val="20"/>
                <w:szCs w:val="20"/>
              </w:rPr>
              <w:t>排水管道检测修复</w:t>
            </w:r>
            <w:r>
              <w:rPr>
                <w:rFonts w:hint="eastAsia" w:ascii="仿宋_GB2312" w:hAnsi="仿宋_GB2312" w:eastAsia="仿宋_GB2312" w:cs="仿宋_GB2312"/>
                <w:sz w:val="20"/>
                <w:szCs w:val="20"/>
                <w:lang w:eastAsia="zh-CN"/>
              </w:rPr>
              <w:t>）</w:t>
            </w:r>
          </w:p>
        </w:tc>
        <w:tc>
          <w:tcPr>
            <w:tcW w:w="1203" w:type="dxa"/>
            <w:vMerge w:val="continue"/>
            <w:noWrap w:val="0"/>
            <w:vAlign w:val="center"/>
          </w:tcPr>
          <w:p>
            <w:pPr>
              <w:spacing w:line="300" w:lineRule="exact"/>
              <w:jc w:val="center"/>
              <w:rPr>
                <w:rFonts w:hint="eastAsia" w:ascii="仿宋_GB2312" w:hAnsi="仿宋_GB2312" w:eastAsia="仿宋_GB2312" w:cs="仿宋_GB231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黑体" w:hAnsi="黑体" w:eastAsia="黑体" w:cs="黑体"/>
                <w:sz w:val="20"/>
                <w:szCs w:val="20"/>
              </w:rPr>
            </w:pPr>
            <w:r>
              <w:rPr>
                <w:rFonts w:hint="eastAsia" w:ascii="黑体" w:hAnsi="黑体" w:eastAsia="黑体" w:cs="黑体"/>
                <w:sz w:val="20"/>
                <w:szCs w:val="20"/>
              </w:rPr>
              <w:t>二</w:t>
            </w:r>
          </w:p>
        </w:tc>
        <w:tc>
          <w:tcPr>
            <w:tcW w:w="7822" w:type="dxa"/>
            <w:gridSpan w:val="5"/>
            <w:noWrap w:val="0"/>
            <w:vAlign w:val="center"/>
          </w:tcPr>
          <w:p>
            <w:pPr>
              <w:spacing w:line="300" w:lineRule="exact"/>
              <w:rPr>
                <w:rFonts w:hint="eastAsia" w:ascii="黑体" w:hAnsi="黑体" w:eastAsia="黑体" w:cs="黑体"/>
                <w:sz w:val="20"/>
                <w:szCs w:val="20"/>
              </w:rPr>
            </w:pPr>
            <w:r>
              <w:rPr>
                <w:rFonts w:hint="eastAsia" w:ascii="黑体" w:hAnsi="黑体" w:eastAsia="黑体" w:cs="黑体"/>
                <w:sz w:val="20"/>
                <w:szCs w:val="20"/>
              </w:rPr>
              <w:t>实施虬江、桃浦河综合治理。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（一）</w:t>
            </w:r>
          </w:p>
        </w:tc>
        <w:tc>
          <w:tcPr>
            <w:tcW w:w="3178" w:type="dxa"/>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2024年12月，完成虬江</w:t>
            </w:r>
            <w:bookmarkStart w:id="0" w:name="_GoBack"/>
            <w:bookmarkEnd w:id="0"/>
            <w:r>
              <w:rPr>
                <w:rFonts w:hint="eastAsia" w:ascii="仿宋_GB2312" w:hAnsi="仿宋_GB2312" w:eastAsia="仿宋_GB2312" w:cs="仿宋_GB2312"/>
                <w:sz w:val="20"/>
                <w:szCs w:val="20"/>
              </w:rPr>
              <w:t>和桃浦河“一河一策”编制。</w:t>
            </w:r>
          </w:p>
        </w:tc>
        <w:tc>
          <w:tcPr>
            <w:tcW w:w="863" w:type="dxa"/>
            <w:vMerge w:val="restart"/>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市水务局、杨浦区党委和政府、虹口区党委和政府、普陀区党委和政府、宝山区党委和政府、城投集团</w:t>
            </w:r>
          </w:p>
        </w:tc>
        <w:tc>
          <w:tcPr>
            <w:tcW w:w="1040" w:type="dxa"/>
            <w:noWrap w:val="0"/>
            <w:vAlign w:val="center"/>
          </w:tcPr>
          <w:p>
            <w:pPr>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阮仁良</w:t>
            </w:r>
          </w:p>
        </w:tc>
        <w:tc>
          <w:tcPr>
            <w:tcW w:w="1538"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局河长处</w:t>
            </w:r>
          </w:p>
        </w:tc>
        <w:tc>
          <w:tcPr>
            <w:tcW w:w="1203" w:type="dxa"/>
            <w:noWrap w:val="0"/>
            <w:vAlign w:val="center"/>
          </w:tcPr>
          <w:p>
            <w:pPr>
              <w:spacing w:line="30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水利事务中心</w:t>
            </w:r>
            <w:r>
              <w:rPr>
                <w:rFonts w:hint="eastAsia" w:ascii="仿宋_GB2312" w:hAnsi="仿宋_GB2312" w:eastAsia="仿宋_GB2312" w:cs="仿宋_GB2312"/>
                <w:sz w:val="20"/>
                <w:szCs w:val="20"/>
                <w:lang w:eastAsia="zh-CN"/>
              </w:rPr>
              <w:t>、排水事务中心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（二）</w:t>
            </w:r>
          </w:p>
        </w:tc>
        <w:tc>
          <w:tcPr>
            <w:tcW w:w="3178" w:type="dxa"/>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2026年12月，乾溪、上大排水系统初雨调蓄设施和桃浦污水处理厂初期雨水调蓄工程通水验收；</w:t>
            </w:r>
          </w:p>
        </w:tc>
        <w:tc>
          <w:tcPr>
            <w:tcW w:w="863" w:type="dxa"/>
            <w:vMerge w:val="continue"/>
            <w:noWrap w:val="0"/>
            <w:vAlign w:val="center"/>
          </w:tcPr>
          <w:p>
            <w:pPr>
              <w:spacing w:line="300" w:lineRule="exact"/>
              <w:jc w:val="center"/>
              <w:rPr>
                <w:rFonts w:ascii="仿宋_GB2312" w:hAnsi="仿宋_GB2312" w:eastAsia="仿宋_GB2312" w:cs="仿宋_GB2312"/>
                <w:sz w:val="20"/>
                <w:szCs w:val="20"/>
              </w:rPr>
            </w:pPr>
          </w:p>
        </w:tc>
        <w:tc>
          <w:tcPr>
            <w:tcW w:w="1040"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高昊旻</w:t>
            </w:r>
          </w:p>
        </w:tc>
        <w:tc>
          <w:tcPr>
            <w:tcW w:w="1538"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局建管处</w:t>
            </w:r>
          </w:p>
        </w:tc>
        <w:tc>
          <w:tcPr>
            <w:tcW w:w="1203" w:type="dxa"/>
            <w:noWrap w:val="0"/>
            <w:vAlign w:val="center"/>
          </w:tcPr>
          <w:p>
            <w:pPr>
              <w:spacing w:line="300" w:lineRule="exact"/>
              <w:jc w:val="center"/>
              <w:rPr>
                <w:rFonts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（三）</w:t>
            </w:r>
          </w:p>
        </w:tc>
        <w:tc>
          <w:tcPr>
            <w:tcW w:w="3178" w:type="dxa"/>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2026年12月，开工建设大柏树初雨调蓄设施；</w:t>
            </w:r>
          </w:p>
        </w:tc>
        <w:tc>
          <w:tcPr>
            <w:tcW w:w="863" w:type="dxa"/>
            <w:vMerge w:val="continue"/>
            <w:noWrap w:val="0"/>
            <w:vAlign w:val="center"/>
          </w:tcPr>
          <w:p>
            <w:pPr>
              <w:spacing w:line="300" w:lineRule="exact"/>
              <w:jc w:val="center"/>
              <w:rPr>
                <w:rFonts w:ascii="仿宋_GB2312" w:hAnsi="仿宋_GB2312" w:eastAsia="仿宋_GB2312" w:cs="仿宋_GB2312"/>
                <w:sz w:val="20"/>
                <w:szCs w:val="20"/>
              </w:rPr>
            </w:pPr>
          </w:p>
        </w:tc>
        <w:tc>
          <w:tcPr>
            <w:tcW w:w="1040"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eastAsia="zh-CN"/>
              </w:rPr>
              <w:t>李琳</w:t>
            </w:r>
          </w:p>
        </w:tc>
        <w:tc>
          <w:tcPr>
            <w:tcW w:w="1538"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局河长处</w:t>
            </w:r>
          </w:p>
        </w:tc>
        <w:tc>
          <w:tcPr>
            <w:tcW w:w="1203"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排水事务中心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w:t>
            </w:r>
          </w:p>
        </w:tc>
        <w:tc>
          <w:tcPr>
            <w:tcW w:w="3178" w:type="dxa"/>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2026年12月，完成五角场、国和、嫩江、国顺东、大柏树泵站截流优化提升。</w:t>
            </w:r>
          </w:p>
        </w:tc>
        <w:tc>
          <w:tcPr>
            <w:tcW w:w="863" w:type="dxa"/>
            <w:vMerge w:val="continue"/>
            <w:noWrap w:val="0"/>
            <w:vAlign w:val="center"/>
          </w:tcPr>
          <w:p>
            <w:pPr>
              <w:spacing w:line="300" w:lineRule="exact"/>
              <w:jc w:val="center"/>
              <w:rPr>
                <w:rFonts w:ascii="仿宋_GB2312" w:hAnsi="仿宋_GB2312" w:eastAsia="仿宋_GB2312" w:cs="仿宋_GB2312"/>
                <w:sz w:val="20"/>
                <w:szCs w:val="20"/>
              </w:rPr>
            </w:pPr>
          </w:p>
        </w:tc>
        <w:tc>
          <w:tcPr>
            <w:tcW w:w="1040"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eastAsia="zh-CN"/>
              </w:rPr>
              <w:t>李琳</w:t>
            </w:r>
          </w:p>
        </w:tc>
        <w:tc>
          <w:tcPr>
            <w:tcW w:w="1538"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局河长处</w:t>
            </w:r>
          </w:p>
        </w:tc>
        <w:tc>
          <w:tcPr>
            <w:tcW w:w="1203"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排水事务中心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vMerge w:val="restart"/>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（五）</w:t>
            </w:r>
          </w:p>
        </w:tc>
        <w:tc>
          <w:tcPr>
            <w:tcW w:w="3178" w:type="dxa"/>
            <w:vMerge w:val="restart"/>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2026年12月，针对排入虬江和桃浦河的防汛泵站服务区域，完成雨污混接普查整治和排水管道检测修复。</w:t>
            </w:r>
          </w:p>
        </w:tc>
        <w:tc>
          <w:tcPr>
            <w:tcW w:w="863" w:type="dxa"/>
            <w:vMerge w:val="continue"/>
            <w:noWrap w:val="0"/>
            <w:vAlign w:val="center"/>
          </w:tcPr>
          <w:p>
            <w:pPr>
              <w:spacing w:line="300" w:lineRule="exact"/>
              <w:jc w:val="center"/>
              <w:rPr>
                <w:rFonts w:ascii="仿宋_GB2312" w:hAnsi="仿宋_GB2312" w:eastAsia="仿宋_GB2312" w:cs="仿宋_GB2312"/>
                <w:sz w:val="20"/>
                <w:szCs w:val="20"/>
              </w:rPr>
            </w:pPr>
          </w:p>
        </w:tc>
        <w:tc>
          <w:tcPr>
            <w:tcW w:w="1040" w:type="dxa"/>
            <w:noWrap w:val="0"/>
            <w:vAlign w:val="center"/>
          </w:tcPr>
          <w:p>
            <w:pPr>
              <w:spacing w:line="3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eastAsia="zh-CN"/>
              </w:rPr>
              <w:t>李琳</w:t>
            </w:r>
          </w:p>
        </w:tc>
        <w:tc>
          <w:tcPr>
            <w:tcW w:w="1538" w:type="dxa"/>
            <w:noWrap w:val="0"/>
            <w:vAlign w:val="center"/>
          </w:tcPr>
          <w:p>
            <w:pPr>
              <w:spacing w:line="3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局河长处</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雨污混接普查整治</w:t>
            </w:r>
            <w:r>
              <w:rPr>
                <w:rFonts w:hint="eastAsia" w:ascii="仿宋_GB2312" w:hAnsi="仿宋_GB2312" w:eastAsia="仿宋_GB2312" w:cs="仿宋_GB2312"/>
                <w:sz w:val="20"/>
                <w:szCs w:val="20"/>
                <w:lang w:eastAsia="zh-CN"/>
              </w:rPr>
              <w:t>）</w:t>
            </w:r>
          </w:p>
        </w:tc>
        <w:tc>
          <w:tcPr>
            <w:tcW w:w="1203" w:type="dxa"/>
            <w:vMerge w:val="restart"/>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排水事务中心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435" w:type="dxa"/>
            <w:vMerge w:val="continue"/>
            <w:noWrap w:val="0"/>
            <w:vAlign w:val="center"/>
          </w:tcPr>
          <w:p>
            <w:pPr>
              <w:spacing w:line="300" w:lineRule="exact"/>
              <w:jc w:val="center"/>
            </w:pPr>
          </w:p>
        </w:tc>
        <w:tc>
          <w:tcPr>
            <w:tcW w:w="1223" w:type="dxa"/>
            <w:vMerge w:val="continue"/>
            <w:noWrap w:val="0"/>
            <w:vAlign w:val="center"/>
          </w:tcPr>
          <w:p>
            <w:pPr>
              <w:spacing w:line="300" w:lineRule="exact"/>
              <w:jc w:val="center"/>
            </w:pPr>
          </w:p>
        </w:tc>
        <w:tc>
          <w:tcPr>
            <w:tcW w:w="1350" w:type="dxa"/>
            <w:vMerge w:val="continue"/>
            <w:noWrap w:val="0"/>
            <w:vAlign w:val="center"/>
          </w:tcPr>
          <w:p>
            <w:pPr>
              <w:spacing w:line="300" w:lineRule="exact"/>
              <w:jc w:val="center"/>
            </w:pPr>
          </w:p>
        </w:tc>
        <w:tc>
          <w:tcPr>
            <w:tcW w:w="773" w:type="dxa"/>
            <w:vMerge w:val="continue"/>
            <w:noWrap w:val="0"/>
            <w:vAlign w:val="center"/>
          </w:tcPr>
          <w:p>
            <w:pPr>
              <w:spacing w:line="300" w:lineRule="exact"/>
              <w:jc w:val="center"/>
            </w:pPr>
          </w:p>
        </w:tc>
        <w:tc>
          <w:tcPr>
            <w:tcW w:w="844" w:type="dxa"/>
            <w:vMerge w:val="continue"/>
            <w:noWrap w:val="0"/>
            <w:vAlign w:val="center"/>
          </w:tcPr>
          <w:p>
            <w:pPr>
              <w:spacing w:line="300" w:lineRule="exact"/>
              <w:jc w:val="center"/>
            </w:pPr>
          </w:p>
        </w:tc>
        <w:tc>
          <w:tcPr>
            <w:tcW w:w="825" w:type="dxa"/>
            <w:vMerge w:val="continue"/>
            <w:noWrap w:val="0"/>
            <w:vAlign w:val="center"/>
          </w:tcPr>
          <w:p>
            <w:pPr>
              <w:spacing w:line="300" w:lineRule="exact"/>
              <w:jc w:val="center"/>
            </w:pPr>
          </w:p>
        </w:tc>
        <w:tc>
          <w:tcPr>
            <w:tcW w:w="3178" w:type="dxa"/>
            <w:vMerge w:val="continue"/>
            <w:noWrap w:val="0"/>
            <w:vAlign w:val="center"/>
          </w:tcPr>
          <w:p>
            <w:pPr>
              <w:spacing w:line="300" w:lineRule="exact"/>
              <w:jc w:val="center"/>
            </w:pPr>
          </w:p>
        </w:tc>
        <w:tc>
          <w:tcPr>
            <w:tcW w:w="863" w:type="dxa"/>
            <w:vMerge w:val="continue"/>
            <w:noWrap w:val="0"/>
            <w:vAlign w:val="center"/>
          </w:tcPr>
          <w:p>
            <w:pPr>
              <w:spacing w:line="300" w:lineRule="exact"/>
              <w:jc w:val="center"/>
            </w:pPr>
          </w:p>
        </w:tc>
        <w:tc>
          <w:tcPr>
            <w:tcW w:w="1040" w:type="dxa"/>
            <w:noWrap w:val="0"/>
            <w:vAlign w:val="center"/>
          </w:tcPr>
          <w:p>
            <w:pPr>
              <w:spacing w:line="3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eastAsia="zh-CN"/>
              </w:rPr>
              <w:t>庄兴岳</w:t>
            </w:r>
          </w:p>
        </w:tc>
        <w:tc>
          <w:tcPr>
            <w:tcW w:w="1538" w:type="dxa"/>
            <w:noWrap w:val="0"/>
            <w:vAlign w:val="center"/>
          </w:tcPr>
          <w:p>
            <w:pPr>
              <w:spacing w:line="3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局运管处</w:t>
            </w:r>
            <w:r>
              <w:rPr>
                <w:rFonts w:hint="eastAsia" w:ascii="仿宋_GB2312" w:hAnsi="仿宋_GB2312" w:eastAsia="仿宋_GB2312" w:cs="仿宋_GB2312"/>
                <w:sz w:val="20"/>
                <w:szCs w:val="20"/>
                <w:lang w:eastAsia="zh-CN"/>
              </w:rPr>
              <w:t>（滚动推进</w:t>
            </w:r>
            <w:r>
              <w:rPr>
                <w:rFonts w:hint="eastAsia" w:ascii="仿宋_GB2312" w:hAnsi="仿宋_GB2312" w:eastAsia="仿宋_GB2312" w:cs="仿宋_GB2312"/>
                <w:sz w:val="20"/>
                <w:szCs w:val="20"/>
              </w:rPr>
              <w:t>排水管道检测修复</w:t>
            </w:r>
            <w:r>
              <w:rPr>
                <w:rFonts w:hint="eastAsia" w:ascii="仿宋_GB2312" w:hAnsi="仿宋_GB2312" w:eastAsia="仿宋_GB2312" w:cs="仿宋_GB2312"/>
                <w:sz w:val="20"/>
                <w:szCs w:val="20"/>
                <w:lang w:eastAsia="zh-CN"/>
              </w:rPr>
              <w:t>）</w:t>
            </w:r>
          </w:p>
        </w:tc>
        <w:tc>
          <w:tcPr>
            <w:tcW w:w="1203" w:type="dxa"/>
            <w:vMerge w:val="continue"/>
            <w:noWrap w:val="0"/>
            <w:vAlign w:val="center"/>
          </w:tcPr>
          <w:p>
            <w:pPr>
              <w:spacing w:line="300" w:lineRule="exact"/>
              <w:jc w:val="center"/>
              <w:rPr>
                <w:rFonts w:hint="eastAsia" w:ascii="仿宋_GB2312" w:hAnsi="仿宋_GB2312" w:eastAsia="仿宋_GB2312" w:cs="仿宋_GB231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（六）</w:t>
            </w:r>
          </w:p>
        </w:tc>
        <w:tc>
          <w:tcPr>
            <w:tcW w:w="3178" w:type="dxa"/>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持续做好泵站清淤、排水管道养护工作。</w:t>
            </w:r>
          </w:p>
        </w:tc>
        <w:tc>
          <w:tcPr>
            <w:tcW w:w="863" w:type="dxa"/>
            <w:vMerge w:val="continue"/>
            <w:noWrap w:val="0"/>
            <w:vAlign w:val="center"/>
          </w:tcPr>
          <w:p>
            <w:pPr>
              <w:spacing w:line="300" w:lineRule="exact"/>
              <w:jc w:val="center"/>
              <w:rPr>
                <w:rFonts w:ascii="仿宋_GB2312" w:hAnsi="仿宋_GB2312" w:eastAsia="仿宋_GB2312" w:cs="仿宋_GB2312"/>
                <w:sz w:val="20"/>
                <w:szCs w:val="20"/>
              </w:rPr>
            </w:pPr>
          </w:p>
        </w:tc>
        <w:tc>
          <w:tcPr>
            <w:tcW w:w="1040"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李琳</w:t>
            </w:r>
          </w:p>
        </w:tc>
        <w:tc>
          <w:tcPr>
            <w:tcW w:w="1538"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局防御处</w:t>
            </w:r>
          </w:p>
        </w:tc>
        <w:tc>
          <w:tcPr>
            <w:tcW w:w="1203"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排水事务中心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eastAsia="zh-CN"/>
              </w:rPr>
              <w:t>七</w:t>
            </w:r>
            <w:r>
              <w:rPr>
                <w:rFonts w:hint="eastAsia" w:ascii="仿宋_GB2312" w:hAnsi="仿宋_GB2312" w:eastAsia="仿宋_GB2312" w:cs="仿宋_GB2312"/>
                <w:sz w:val="20"/>
                <w:szCs w:val="20"/>
              </w:rPr>
              <w:t>）</w:t>
            </w:r>
          </w:p>
        </w:tc>
        <w:tc>
          <w:tcPr>
            <w:tcW w:w="3178" w:type="dxa"/>
            <w:noWrap w:val="0"/>
            <w:vAlign w:val="center"/>
          </w:tcPr>
          <w:p>
            <w:pPr>
              <w:spacing w:line="300" w:lineRule="exact"/>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持续做好泵站排放口河段应急疏浚及泵站排水和河道养护保洁联动工作</w:t>
            </w:r>
            <w:r>
              <w:rPr>
                <w:rFonts w:hint="eastAsia" w:ascii="仿宋_GB2312" w:hAnsi="仿宋_GB2312" w:eastAsia="仿宋_GB2312" w:cs="仿宋_GB2312"/>
                <w:sz w:val="20"/>
                <w:szCs w:val="20"/>
                <w:lang w:eastAsia="zh-CN"/>
              </w:rPr>
              <w:t>。</w:t>
            </w:r>
          </w:p>
        </w:tc>
        <w:tc>
          <w:tcPr>
            <w:tcW w:w="863" w:type="dxa"/>
            <w:vMerge w:val="continue"/>
            <w:noWrap w:val="0"/>
            <w:vAlign w:val="center"/>
          </w:tcPr>
          <w:p>
            <w:pPr>
              <w:spacing w:line="300" w:lineRule="exact"/>
              <w:jc w:val="center"/>
              <w:rPr>
                <w:rFonts w:ascii="仿宋_GB2312" w:hAnsi="仿宋_GB2312" w:eastAsia="仿宋_GB2312" w:cs="仿宋_GB2312"/>
                <w:sz w:val="20"/>
                <w:szCs w:val="20"/>
              </w:rPr>
            </w:pPr>
          </w:p>
        </w:tc>
        <w:tc>
          <w:tcPr>
            <w:tcW w:w="1040" w:type="dxa"/>
            <w:noWrap w:val="0"/>
            <w:vAlign w:val="center"/>
          </w:tcPr>
          <w:p>
            <w:pPr>
              <w:spacing w:line="30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阮仁良</w:t>
            </w:r>
          </w:p>
        </w:tc>
        <w:tc>
          <w:tcPr>
            <w:tcW w:w="1538" w:type="dxa"/>
            <w:noWrap w:val="0"/>
            <w:vAlign w:val="center"/>
          </w:tcPr>
          <w:p>
            <w:pPr>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局</w:t>
            </w:r>
            <w:r>
              <w:rPr>
                <w:rFonts w:hint="eastAsia" w:ascii="仿宋_GB2312" w:hAnsi="仿宋_GB2312" w:eastAsia="仿宋_GB2312" w:cs="仿宋_GB2312"/>
                <w:sz w:val="20"/>
                <w:szCs w:val="20"/>
              </w:rPr>
              <w:t>河长处</w:t>
            </w:r>
          </w:p>
        </w:tc>
        <w:tc>
          <w:tcPr>
            <w:tcW w:w="1203" w:type="dxa"/>
            <w:noWrap w:val="0"/>
            <w:vAlign w:val="center"/>
          </w:tcPr>
          <w:p>
            <w:pPr>
              <w:spacing w:line="30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水利事务中心</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排水事务中心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黑体" w:hAnsi="黑体" w:eastAsia="黑体" w:cs="黑体"/>
                <w:sz w:val="20"/>
                <w:szCs w:val="20"/>
              </w:rPr>
            </w:pPr>
            <w:r>
              <w:rPr>
                <w:rFonts w:hint="eastAsia" w:ascii="黑体" w:hAnsi="黑体" w:eastAsia="黑体" w:cs="黑体"/>
                <w:sz w:val="20"/>
                <w:szCs w:val="20"/>
              </w:rPr>
              <w:t>三</w:t>
            </w:r>
          </w:p>
        </w:tc>
        <w:tc>
          <w:tcPr>
            <w:tcW w:w="7822" w:type="dxa"/>
            <w:gridSpan w:val="5"/>
            <w:noWrap w:val="0"/>
            <w:vAlign w:val="center"/>
          </w:tcPr>
          <w:p>
            <w:pPr>
              <w:spacing w:line="300" w:lineRule="exact"/>
              <w:jc w:val="left"/>
              <w:rPr>
                <w:rFonts w:hint="eastAsia" w:ascii="黑体" w:hAnsi="黑体" w:eastAsia="黑体" w:cs="黑体"/>
                <w:sz w:val="20"/>
                <w:szCs w:val="20"/>
              </w:rPr>
            </w:pPr>
            <w:r>
              <w:rPr>
                <w:rFonts w:hint="eastAsia" w:ascii="黑体" w:hAnsi="黑体" w:eastAsia="黑体" w:cs="黑体"/>
                <w:sz w:val="20"/>
                <w:szCs w:val="20"/>
              </w:rPr>
              <w:t>开展污水处理厂提质增效。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（一）</w:t>
            </w:r>
          </w:p>
        </w:tc>
        <w:tc>
          <w:tcPr>
            <w:tcW w:w="3178" w:type="dxa"/>
            <w:noWrap w:val="0"/>
            <w:vAlign w:val="center"/>
          </w:tcPr>
          <w:p>
            <w:pPr>
              <w:spacing w:line="300" w:lineRule="exact"/>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针对进水水质生化需氧量低于100毫克/升的商榻等15座污水处理厂，2024年12月，完成“一厂一策”编制</w:t>
            </w:r>
            <w:r>
              <w:rPr>
                <w:rFonts w:hint="eastAsia" w:ascii="仿宋_GB2312" w:hAnsi="仿宋_GB2312" w:eastAsia="仿宋_GB2312" w:cs="仿宋_GB2312"/>
                <w:sz w:val="20"/>
                <w:szCs w:val="20"/>
                <w:lang w:eastAsia="zh-CN"/>
              </w:rPr>
              <w:t>。</w:t>
            </w:r>
          </w:p>
        </w:tc>
        <w:tc>
          <w:tcPr>
            <w:tcW w:w="863" w:type="dxa"/>
            <w:vMerge w:val="restart"/>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相关区党委和政府、城投集团</w:t>
            </w:r>
          </w:p>
        </w:tc>
        <w:tc>
          <w:tcPr>
            <w:tcW w:w="1040" w:type="dxa"/>
            <w:noWrap w:val="0"/>
            <w:vAlign w:val="center"/>
          </w:tcPr>
          <w:p>
            <w:pPr>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李琳</w:t>
            </w:r>
          </w:p>
        </w:tc>
        <w:tc>
          <w:tcPr>
            <w:tcW w:w="1538"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局河长处</w:t>
            </w:r>
          </w:p>
        </w:tc>
        <w:tc>
          <w:tcPr>
            <w:tcW w:w="1203"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排水事务中心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vMerge w:val="restart"/>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（二）</w:t>
            </w:r>
          </w:p>
        </w:tc>
        <w:tc>
          <w:tcPr>
            <w:tcW w:w="3178" w:type="dxa"/>
            <w:vMerge w:val="restart"/>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对其中进水水质浓度偏低污水泵站服务区域，2026年12月，完成雨污混接普查整治和排水管道检测修复。</w:t>
            </w:r>
          </w:p>
        </w:tc>
        <w:tc>
          <w:tcPr>
            <w:tcW w:w="863" w:type="dxa"/>
            <w:vMerge w:val="continue"/>
            <w:noWrap w:val="0"/>
            <w:vAlign w:val="center"/>
          </w:tcPr>
          <w:p>
            <w:pPr>
              <w:spacing w:line="300" w:lineRule="exact"/>
              <w:jc w:val="center"/>
              <w:rPr>
                <w:rFonts w:ascii="仿宋_GB2312" w:hAnsi="仿宋_GB2312" w:eastAsia="仿宋_GB2312" w:cs="仿宋_GB2312"/>
                <w:sz w:val="20"/>
                <w:szCs w:val="20"/>
              </w:rPr>
            </w:pPr>
          </w:p>
        </w:tc>
        <w:tc>
          <w:tcPr>
            <w:tcW w:w="1040" w:type="dxa"/>
            <w:noWrap w:val="0"/>
            <w:vAlign w:val="center"/>
          </w:tcPr>
          <w:p>
            <w:pPr>
              <w:spacing w:line="3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eastAsia="zh-CN"/>
              </w:rPr>
              <w:t>李琳</w:t>
            </w:r>
          </w:p>
        </w:tc>
        <w:tc>
          <w:tcPr>
            <w:tcW w:w="1538" w:type="dxa"/>
            <w:noWrap w:val="0"/>
            <w:vAlign w:val="center"/>
          </w:tcPr>
          <w:p>
            <w:pPr>
              <w:spacing w:line="3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局河长处</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雨污混接普查整治</w:t>
            </w:r>
            <w:r>
              <w:rPr>
                <w:rFonts w:hint="eastAsia" w:ascii="仿宋_GB2312" w:hAnsi="仿宋_GB2312" w:eastAsia="仿宋_GB2312" w:cs="仿宋_GB2312"/>
                <w:sz w:val="20"/>
                <w:szCs w:val="20"/>
                <w:lang w:eastAsia="zh-CN"/>
              </w:rPr>
              <w:t>）</w:t>
            </w:r>
          </w:p>
        </w:tc>
        <w:tc>
          <w:tcPr>
            <w:tcW w:w="1203" w:type="dxa"/>
            <w:vMerge w:val="restart"/>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排水事务中心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435" w:type="dxa"/>
            <w:vMerge w:val="continue"/>
            <w:noWrap w:val="0"/>
            <w:vAlign w:val="center"/>
          </w:tcPr>
          <w:p>
            <w:pPr>
              <w:spacing w:line="300" w:lineRule="exact"/>
              <w:jc w:val="center"/>
            </w:pPr>
          </w:p>
        </w:tc>
        <w:tc>
          <w:tcPr>
            <w:tcW w:w="1223" w:type="dxa"/>
            <w:vMerge w:val="continue"/>
            <w:noWrap w:val="0"/>
            <w:vAlign w:val="center"/>
          </w:tcPr>
          <w:p>
            <w:pPr>
              <w:spacing w:line="300" w:lineRule="exact"/>
              <w:jc w:val="center"/>
            </w:pPr>
          </w:p>
        </w:tc>
        <w:tc>
          <w:tcPr>
            <w:tcW w:w="1350" w:type="dxa"/>
            <w:vMerge w:val="continue"/>
            <w:noWrap w:val="0"/>
            <w:vAlign w:val="center"/>
          </w:tcPr>
          <w:p>
            <w:pPr>
              <w:spacing w:line="300" w:lineRule="exact"/>
              <w:jc w:val="center"/>
            </w:pPr>
          </w:p>
        </w:tc>
        <w:tc>
          <w:tcPr>
            <w:tcW w:w="773" w:type="dxa"/>
            <w:vMerge w:val="continue"/>
            <w:noWrap w:val="0"/>
            <w:vAlign w:val="center"/>
          </w:tcPr>
          <w:p>
            <w:pPr>
              <w:spacing w:line="300" w:lineRule="exact"/>
              <w:jc w:val="center"/>
            </w:pPr>
          </w:p>
        </w:tc>
        <w:tc>
          <w:tcPr>
            <w:tcW w:w="844" w:type="dxa"/>
            <w:vMerge w:val="continue"/>
            <w:noWrap w:val="0"/>
            <w:vAlign w:val="center"/>
          </w:tcPr>
          <w:p>
            <w:pPr>
              <w:spacing w:line="300" w:lineRule="exact"/>
              <w:jc w:val="center"/>
            </w:pPr>
          </w:p>
        </w:tc>
        <w:tc>
          <w:tcPr>
            <w:tcW w:w="825" w:type="dxa"/>
            <w:vMerge w:val="continue"/>
            <w:noWrap w:val="0"/>
            <w:vAlign w:val="center"/>
          </w:tcPr>
          <w:p>
            <w:pPr>
              <w:spacing w:line="300" w:lineRule="exact"/>
              <w:jc w:val="center"/>
            </w:pPr>
          </w:p>
        </w:tc>
        <w:tc>
          <w:tcPr>
            <w:tcW w:w="3178" w:type="dxa"/>
            <w:vMerge w:val="continue"/>
            <w:noWrap w:val="0"/>
            <w:vAlign w:val="center"/>
          </w:tcPr>
          <w:p>
            <w:pPr>
              <w:spacing w:line="300" w:lineRule="exact"/>
              <w:jc w:val="center"/>
            </w:pPr>
          </w:p>
        </w:tc>
        <w:tc>
          <w:tcPr>
            <w:tcW w:w="863" w:type="dxa"/>
            <w:vMerge w:val="continue"/>
            <w:noWrap w:val="0"/>
            <w:vAlign w:val="center"/>
          </w:tcPr>
          <w:p>
            <w:pPr>
              <w:spacing w:line="300" w:lineRule="exact"/>
              <w:jc w:val="center"/>
            </w:pPr>
          </w:p>
        </w:tc>
        <w:tc>
          <w:tcPr>
            <w:tcW w:w="1040" w:type="dxa"/>
            <w:noWrap w:val="0"/>
            <w:vAlign w:val="center"/>
          </w:tcPr>
          <w:p>
            <w:pPr>
              <w:spacing w:line="3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eastAsia="zh-CN"/>
              </w:rPr>
              <w:t>庄兴岳</w:t>
            </w:r>
          </w:p>
        </w:tc>
        <w:tc>
          <w:tcPr>
            <w:tcW w:w="1538" w:type="dxa"/>
            <w:noWrap w:val="0"/>
            <w:vAlign w:val="center"/>
          </w:tcPr>
          <w:p>
            <w:pPr>
              <w:spacing w:line="3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局运管处</w:t>
            </w:r>
            <w:r>
              <w:rPr>
                <w:rFonts w:hint="eastAsia" w:ascii="仿宋_GB2312" w:hAnsi="仿宋_GB2312" w:eastAsia="仿宋_GB2312" w:cs="仿宋_GB2312"/>
                <w:sz w:val="20"/>
                <w:szCs w:val="20"/>
                <w:lang w:eastAsia="zh-CN"/>
              </w:rPr>
              <w:t>（滚动推进</w:t>
            </w:r>
            <w:r>
              <w:rPr>
                <w:rFonts w:hint="eastAsia" w:ascii="仿宋_GB2312" w:hAnsi="仿宋_GB2312" w:eastAsia="仿宋_GB2312" w:cs="仿宋_GB2312"/>
                <w:sz w:val="20"/>
                <w:szCs w:val="20"/>
              </w:rPr>
              <w:t>排水管道检测修复</w:t>
            </w:r>
            <w:r>
              <w:rPr>
                <w:rFonts w:hint="eastAsia" w:ascii="仿宋_GB2312" w:hAnsi="仿宋_GB2312" w:eastAsia="仿宋_GB2312" w:cs="仿宋_GB2312"/>
                <w:sz w:val="20"/>
                <w:szCs w:val="20"/>
                <w:lang w:eastAsia="zh-CN"/>
              </w:rPr>
              <w:t>）</w:t>
            </w:r>
          </w:p>
        </w:tc>
        <w:tc>
          <w:tcPr>
            <w:tcW w:w="1203" w:type="dxa"/>
            <w:vMerge w:val="continue"/>
            <w:noWrap w:val="0"/>
            <w:vAlign w:val="center"/>
          </w:tcPr>
          <w:p>
            <w:pPr>
              <w:spacing w:line="300" w:lineRule="exact"/>
              <w:jc w:val="center"/>
              <w:rPr>
                <w:rFonts w:hint="eastAsia" w:ascii="仿宋_GB2312" w:hAnsi="仿宋_GB2312" w:eastAsia="仿宋_GB2312" w:cs="仿宋_GB231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仿宋_GB2312" w:hAnsi="仿宋_GB2312" w:eastAsia="仿宋_GB2312" w:cs="仿宋_GB2312"/>
                <w:sz w:val="20"/>
                <w:szCs w:val="20"/>
              </w:rPr>
            </w:pPr>
            <w:r>
              <w:rPr>
                <w:rFonts w:hint="eastAsia" w:ascii="黑体" w:hAnsi="黑体" w:eastAsia="黑体" w:cs="黑体"/>
                <w:sz w:val="20"/>
                <w:szCs w:val="20"/>
              </w:rPr>
              <w:t>四</w:t>
            </w:r>
          </w:p>
        </w:tc>
        <w:tc>
          <w:tcPr>
            <w:tcW w:w="7822" w:type="dxa"/>
            <w:gridSpan w:val="5"/>
            <w:noWrap w:val="0"/>
            <w:vAlign w:val="center"/>
          </w:tcPr>
          <w:p>
            <w:pPr>
              <w:spacing w:line="300" w:lineRule="exact"/>
              <w:jc w:val="left"/>
              <w:rPr>
                <w:rFonts w:hint="eastAsia" w:ascii="黑体" w:hAnsi="黑体" w:eastAsia="黑体" w:cs="黑体"/>
                <w:sz w:val="20"/>
                <w:szCs w:val="20"/>
              </w:rPr>
            </w:pPr>
            <w:r>
              <w:rPr>
                <w:rFonts w:hint="eastAsia" w:ascii="黑体" w:hAnsi="黑体" w:eastAsia="黑体" w:cs="黑体"/>
                <w:sz w:val="20"/>
                <w:szCs w:val="20"/>
              </w:rPr>
              <w:t>加强污水处理厂进水管控。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（一）</w:t>
            </w:r>
          </w:p>
        </w:tc>
        <w:tc>
          <w:tcPr>
            <w:tcW w:w="3178" w:type="dxa"/>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2025年12月，依法查处松江东部污水处理厂超标排放污水行为；对松东污水处理厂服务范围内纳管企业开展溯源分析和专项检查，对存在超标排放的依法查处，并加强纳管企业的日常执法监管；完善应急预警监测，在松东污水处理厂服务范围节点泵站加装在线水质监测设备，加强数据分析预警，及时采取应急措施。</w:t>
            </w:r>
          </w:p>
        </w:tc>
        <w:tc>
          <w:tcPr>
            <w:tcW w:w="863"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松江区党委和政府</w:t>
            </w:r>
          </w:p>
        </w:tc>
        <w:tc>
          <w:tcPr>
            <w:tcW w:w="1040" w:type="dxa"/>
            <w:noWrap w:val="0"/>
            <w:vAlign w:val="center"/>
          </w:tcPr>
          <w:p>
            <w:pPr>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李琳</w:t>
            </w:r>
          </w:p>
        </w:tc>
        <w:tc>
          <w:tcPr>
            <w:tcW w:w="1538"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局河长处</w:t>
            </w:r>
          </w:p>
        </w:tc>
        <w:tc>
          <w:tcPr>
            <w:tcW w:w="1203"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排水事务中心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黑体" w:hAnsi="黑体" w:eastAsia="黑体" w:cs="黑体"/>
                <w:sz w:val="20"/>
                <w:szCs w:val="20"/>
              </w:rPr>
            </w:pPr>
            <w:r>
              <w:rPr>
                <w:rFonts w:hint="eastAsia" w:ascii="黑体" w:hAnsi="黑体" w:eastAsia="黑体" w:cs="黑体"/>
                <w:sz w:val="20"/>
                <w:szCs w:val="20"/>
              </w:rPr>
              <w:t>五</w:t>
            </w:r>
          </w:p>
        </w:tc>
        <w:tc>
          <w:tcPr>
            <w:tcW w:w="7822" w:type="dxa"/>
            <w:gridSpan w:val="5"/>
            <w:noWrap w:val="0"/>
            <w:vAlign w:val="center"/>
          </w:tcPr>
          <w:p>
            <w:pPr>
              <w:spacing w:line="300" w:lineRule="exact"/>
              <w:jc w:val="left"/>
              <w:rPr>
                <w:rFonts w:hint="eastAsia" w:ascii="黑体" w:hAnsi="黑体" w:eastAsia="黑体" w:cs="黑体"/>
                <w:sz w:val="20"/>
                <w:szCs w:val="20"/>
              </w:rPr>
            </w:pPr>
            <w:r>
              <w:rPr>
                <w:rFonts w:hint="eastAsia" w:ascii="黑体" w:hAnsi="黑体" w:eastAsia="黑体" w:cs="黑体"/>
                <w:sz w:val="20"/>
                <w:szCs w:val="20"/>
              </w:rPr>
              <w:t>加强农村生活污水处理设施运维管理。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（一）</w:t>
            </w:r>
          </w:p>
        </w:tc>
        <w:tc>
          <w:tcPr>
            <w:tcW w:w="3178" w:type="dxa"/>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2024年12月，完成青浦区4套农村生活污水处理设施、松江区3处污水管网破损渗漏点、浦东新区星光村部分生活污水直排问题整改。</w:t>
            </w:r>
          </w:p>
        </w:tc>
        <w:tc>
          <w:tcPr>
            <w:tcW w:w="863"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青浦区党委和政府、松江区党委和政府、浦东新区党委和政府</w:t>
            </w:r>
          </w:p>
        </w:tc>
        <w:tc>
          <w:tcPr>
            <w:tcW w:w="1040" w:type="dxa"/>
            <w:noWrap w:val="0"/>
            <w:vAlign w:val="center"/>
          </w:tcPr>
          <w:p>
            <w:pPr>
              <w:spacing w:line="30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阮仁良</w:t>
            </w:r>
          </w:p>
        </w:tc>
        <w:tc>
          <w:tcPr>
            <w:tcW w:w="1538"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局水利处</w:t>
            </w:r>
          </w:p>
        </w:tc>
        <w:tc>
          <w:tcPr>
            <w:tcW w:w="1203"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水利事务中心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黑体" w:hAnsi="黑体" w:eastAsia="黑体" w:cs="黑体"/>
                <w:sz w:val="20"/>
                <w:szCs w:val="20"/>
              </w:rPr>
            </w:pPr>
            <w:r>
              <w:rPr>
                <w:rFonts w:hint="eastAsia" w:ascii="黑体" w:hAnsi="黑体" w:eastAsia="黑体" w:cs="黑体"/>
                <w:sz w:val="20"/>
                <w:szCs w:val="20"/>
              </w:rPr>
              <w:t>六</w:t>
            </w:r>
          </w:p>
        </w:tc>
        <w:tc>
          <w:tcPr>
            <w:tcW w:w="7822" w:type="dxa"/>
            <w:gridSpan w:val="5"/>
            <w:noWrap w:val="0"/>
            <w:vAlign w:val="center"/>
          </w:tcPr>
          <w:p>
            <w:pPr>
              <w:spacing w:line="300" w:lineRule="exact"/>
              <w:jc w:val="left"/>
              <w:rPr>
                <w:rFonts w:hint="eastAsia" w:ascii="黑体" w:hAnsi="黑体" w:eastAsia="黑体" w:cs="黑体"/>
                <w:sz w:val="20"/>
                <w:szCs w:val="20"/>
              </w:rPr>
            </w:pPr>
            <w:r>
              <w:rPr>
                <w:rFonts w:hint="eastAsia" w:ascii="黑体" w:hAnsi="黑体" w:eastAsia="黑体" w:cs="黑体"/>
                <w:sz w:val="20"/>
                <w:szCs w:val="20"/>
              </w:rPr>
              <w:t>举一反三。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（一）</w:t>
            </w:r>
          </w:p>
        </w:tc>
        <w:tc>
          <w:tcPr>
            <w:tcW w:w="3178" w:type="dxa"/>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持续推进污水基础设施及初期雨水截流调蓄设施建设，2026年12月，全市新建成50座初期雨水截流调蓄设施；</w:t>
            </w:r>
          </w:p>
        </w:tc>
        <w:tc>
          <w:tcPr>
            <w:tcW w:w="863" w:type="dxa"/>
            <w:vMerge w:val="restart"/>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市水务局、市生态环境局、市农业农村委、各区党委和政府、临港新片区管委会、城投集团</w:t>
            </w:r>
          </w:p>
        </w:tc>
        <w:tc>
          <w:tcPr>
            <w:tcW w:w="1040" w:type="dxa"/>
            <w:noWrap w:val="0"/>
            <w:vAlign w:val="center"/>
          </w:tcPr>
          <w:p>
            <w:pPr>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高昊旻</w:t>
            </w:r>
          </w:p>
        </w:tc>
        <w:tc>
          <w:tcPr>
            <w:tcW w:w="1538"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局建管处</w:t>
            </w:r>
          </w:p>
        </w:tc>
        <w:tc>
          <w:tcPr>
            <w:tcW w:w="1203" w:type="dxa"/>
            <w:noWrap w:val="0"/>
            <w:vAlign w:val="center"/>
          </w:tcPr>
          <w:p>
            <w:pPr>
              <w:spacing w:line="300" w:lineRule="exact"/>
              <w:jc w:val="center"/>
              <w:rPr>
                <w:rFonts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vMerge w:val="restart"/>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（二）</w:t>
            </w:r>
          </w:p>
        </w:tc>
        <w:tc>
          <w:tcPr>
            <w:tcW w:w="3178" w:type="dxa"/>
            <w:vMerge w:val="restart"/>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持续完善城市污水管网体系，基本完成全市雨污混接普查整治和排水管道检测修复；</w:t>
            </w:r>
          </w:p>
        </w:tc>
        <w:tc>
          <w:tcPr>
            <w:tcW w:w="863" w:type="dxa"/>
            <w:vMerge w:val="continue"/>
            <w:noWrap w:val="0"/>
            <w:vAlign w:val="center"/>
          </w:tcPr>
          <w:p>
            <w:pPr>
              <w:spacing w:line="300" w:lineRule="exact"/>
              <w:jc w:val="center"/>
              <w:rPr>
                <w:rFonts w:ascii="仿宋_GB2312" w:hAnsi="仿宋_GB2312" w:eastAsia="仿宋_GB2312" w:cs="仿宋_GB2312"/>
                <w:sz w:val="20"/>
                <w:szCs w:val="20"/>
              </w:rPr>
            </w:pPr>
          </w:p>
        </w:tc>
        <w:tc>
          <w:tcPr>
            <w:tcW w:w="1040" w:type="dxa"/>
            <w:noWrap w:val="0"/>
            <w:vAlign w:val="center"/>
          </w:tcPr>
          <w:p>
            <w:pPr>
              <w:spacing w:line="3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eastAsia="zh-CN"/>
              </w:rPr>
              <w:t>李琳</w:t>
            </w:r>
          </w:p>
        </w:tc>
        <w:tc>
          <w:tcPr>
            <w:tcW w:w="1538" w:type="dxa"/>
            <w:noWrap w:val="0"/>
            <w:vAlign w:val="center"/>
          </w:tcPr>
          <w:p>
            <w:pPr>
              <w:spacing w:line="3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局河长处</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雨污混接普查整治</w:t>
            </w:r>
            <w:r>
              <w:rPr>
                <w:rFonts w:hint="eastAsia" w:ascii="仿宋_GB2312" w:hAnsi="仿宋_GB2312" w:eastAsia="仿宋_GB2312" w:cs="仿宋_GB2312"/>
                <w:sz w:val="20"/>
                <w:szCs w:val="20"/>
                <w:lang w:eastAsia="zh-CN"/>
              </w:rPr>
              <w:t>）</w:t>
            </w:r>
          </w:p>
        </w:tc>
        <w:tc>
          <w:tcPr>
            <w:tcW w:w="1203" w:type="dxa"/>
            <w:vMerge w:val="restart"/>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排水事务中心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435" w:type="dxa"/>
            <w:vMerge w:val="continue"/>
            <w:noWrap w:val="0"/>
            <w:vAlign w:val="center"/>
          </w:tcPr>
          <w:p>
            <w:pPr>
              <w:spacing w:line="300" w:lineRule="exact"/>
              <w:jc w:val="center"/>
            </w:pPr>
          </w:p>
        </w:tc>
        <w:tc>
          <w:tcPr>
            <w:tcW w:w="1223" w:type="dxa"/>
            <w:vMerge w:val="continue"/>
            <w:noWrap w:val="0"/>
            <w:vAlign w:val="center"/>
          </w:tcPr>
          <w:p>
            <w:pPr>
              <w:spacing w:line="300" w:lineRule="exact"/>
              <w:jc w:val="center"/>
            </w:pPr>
          </w:p>
        </w:tc>
        <w:tc>
          <w:tcPr>
            <w:tcW w:w="1350" w:type="dxa"/>
            <w:vMerge w:val="continue"/>
            <w:noWrap w:val="0"/>
            <w:vAlign w:val="center"/>
          </w:tcPr>
          <w:p>
            <w:pPr>
              <w:spacing w:line="300" w:lineRule="exact"/>
              <w:jc w:val="center"/>
            </w:pPr>
          </w:p>
        </w:tc>
        <w:tc>
          <w:tcPr>
            <w:tcW w:w="773" w:type="dxa"/>
            <w:vMerge w:val="continue"/>
            <w:noWrap w:val="0"/>
            <w:vAlign w:val="center"/>
          </w:tcPr>
          <w:p>
            <w:pPr>
              <w:spacing w:line="300" w:lineRule="exact"/>
              <w:jc w:val="center"/>
            </w:pPr>
          </w:p>
        </w:tc>
        <w:tc>
          <w:tcPr>
            <w:tcW w:w="844" w:type="dxa"/>
            <w:vMerge w:val="continue"/>
            <w:noWrap w:val="0"/>
            <w:vAlign w:val="center"/>
          </w:tcPr>
          <w:p>
            <w:pPr>
              <w:spacing w:line="300" w:lineRule="exact"/>
              <w:jc w:val="center"/>
            </w:pPr>
          </w:p>
        </w:tc>
        <w:tc>
          <w:tcPr>
            <w:tcW w:w="825" w:type="dxa"/>
            <w:vMerge w:val="continue"/>
            <w:noWrap w:val="0"/>
            <w:vAlign w:val="center"/>
          </w:tcPr>
          <w:p>
            <w:pPr>
              <w:spacing w:line="300" w:lineRule="exact"/>
              <w:jc w:val="center"/>
            </w:pPr>
          </w:p>
        </w:tc>
        <w:tc>
          <w:tcPr>
            <w:tcW w:w="3178" w:type="dxa"/>
            <w:vMerge w:val="continue"/>
            <w:noWrap w:val="0"/>
            <w:vAlign w:val="center"/>
          </w:tcPr>
          <w:p>
            <w:pPr>
              <w:spacing w:line="300" w:lineRule="exact"/>
              <w:jc w:val="center"/>
            </w:pPr>
          </w:p>
        </w:tc>
        <w:tc>
          <w:tcPr>
            <w:tcW w:w="863" w:type="dxa"/>
            <w:vMerge w:val="continue"/>
            <w:noWrap w:val="0"/>
            <w:vAlign w:val="center"/>
          </w:tcPr>
          <w:p>
            <w:pPr>
              <w:spacing w:line="300" w:lineRule="exact"/>
              <w:jc w:val="center"/>
            </w:pPr>
          </w:p>
        </w:tc>
        <w:tc>
          <w:tcPr>
            <w:tcW w:w="1040" w:type="dxa"/>
            <w:noWrap w:val="0"/>
            <w:vAlign w:val="center"/>
          </w:tcPr>
          <w:p>
            <w:pPr>
              <w:spacing w:line="3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eastAsia="zh-CN"/>
              </w:rPr>
              <w:t>庄兴岳</w:t>
            </w:r>
          </w:p>
        </w:tc>
        <w:tc>
          <w:tcPr>
            <w:tcW w:w="1538" w:type="dxa"/>
            <w:noWrap w:val="0"/>
            <w:vAlign w:val="center"/>
          </w:tcPr>
          <w:p>
            <w:pPr>
              <w:spacing w:line="3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局运管处</w:t>
            </w:r>
            <w:r>
              <w:rPr>
                <w:rFonts w:hint="eastAsia" w:ascii="仿宋_GB2312" w:hAnsi="仿宋_GB2312" w:eastAsia="仿宋_GB2312" w:cs="仿宋_GB2312"/>
                <w:sz w:val="20"/>
                <w:szCs w:val="20"/>
                <w:lang w:eastAsia="zh-CN"/>
              </w:rPr>
              <w:t>（滚动推进</w:t>
            </w:r>
            <w:r>
              <w:rPr>
                <w:rFonts w:hint="eastAsia" w:ascii="仿宋_GB2312" w:hAnsi="仿宋_GB2312" w:eastAsia="仿宋_GB2312" w:cs="仿宋_GB2312"/>
                <w:sz w:val="20"/>
                <w:szCs w:val="20"/>
              </w:rPr>
              <w:t>排水管道检测修复</w:t>
            </w:r>
            <w:r>
              <w:rPr>
                <w:rFonts w:hint="eastAsia" w:ascii="仿宋_GB2312" w:hAnsi="仿宋_GB2312" w:eastAsia="仿宋_GB2312" w:cs="仿宋_GB2312"/>
                <w:sz w:val="20"/>
                <w:szCs w:val="20"/>
                <w:lang w:eastAsia="zh-CN"/>
              </w:rPr>
              <w:t>）</w:t>
            </w:r>
          </w:p>
        </w:tc>
        <w:tc>
          <w:tcPr>
            <w:tcW w:w="1203" w:type="dxa"/>
            <w:vMerge w:val="continue"/>
            <w:noWrap w:val="0"/>
            <w:vAlign w:val="center"/>
          </w:tcPr>
          <w:p>
            <w:pPr>
              <w:spacing w:line="300" w:lineRule="exact"/>
              <w:jc w:val="center"/>
              <w:rPr>
                <w:rFonts w:hint="eastAsia" w:ascii="仿宋_GB2312" w:hAnsi="仿宋_GB2312" w:eastAsia="仿宋_GB2312" w:cs="仿宋_GB231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（三）</w:t>
            </w:r>
          </w:p>
        </w:tc>
        <w:tc>
          <w:tcPr>
            <w:tcW w:w="3178" w:type="dxa"/>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研究制定中心城区污水处理厂雨天应急排放管控要求；</w:t>
            </w:r>
          </w:p>
        </w:tc>
        <w:tc>
          <w:tcPr>
            <w:tcW w:w="863" w:type="dxa"/>
            <w:vMerge w:val="continue"/>
            <w:noWrap w:val="0"/>
            <w:vAlign w:val="center"/>
          </w:tcPr>
          <w:p>
            <w:pPr>
              <w:spacing w:line="300" w:lineRule="exact"/>
              <w:jc w:val="center"/>
              <w:rPr>
                <w:rFonts w:ascii="仿宋_GB2312" w:hAnsi="仿宋_GB2312" w:eastAsia="仿宋_GB2312" w:cs="仿宋_GB2312"/>
                <w:sz w:val="20"/>
                <w:szCs w:val="20"/>
              </w:rPr>
            </w:pPr>
          </w:p>
        </w:tc>
        <w:tc>
          <w:tcPr>
            <w:tcW w:w="1040" w:type="dxa"/>
            <w:noWrap w:val="0"/>
            <w:vAlign w:val="center"/>
          </w:tcPr>
          <w:p>
            <w:pPr>
              <w:spacing w:line="300" w:lineRule="exact"/>
              <w:jc w:val="center"/>
            </w:pPr>
            <w:r>
              <w:rPr>
                <w:rFonts w:hint="eastAsia"/>
                <w:lang w:eastAsia="zh-CN"/>
              </w:rPr>
              <w:t>李琳</w:t>
            </w:r>
          </w:p>
        </w:tc>
        <w:tc>
          <w:tcPr>
            <w:tcW w:w="1538"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局河长处</w:t>
            </w:r>
          </w:p>
        </w:tc>
        <w:tc>
          <w:tcPr>
            <w:tcW w:w="1203"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排水事务中心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（四）</w:t>
            </w:r>
          </w:p>
        </w:tc>
        <w:tc>
          <w:tcPr>
            <w:tcW w:w="3178" w:type="dxa"/>
            <w:noWrap w:val="0"/>
            <w:vAlign w:val="center"/>
          </w:tcPr>
          <w:p>
            <w:pPr>
              <w:spacing w:line="300" w:lineRule="exact"/>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研究制定合流制泵站雨天放江管控要求</w:t>
            </w:r>
            <w:r>
              <w:rPr>
                <w:rFonts w:hint="eastAsia" w:ascii="仿宋_GB2312" w:hAnsi="仿宋_GB2312" w:eastAsia="仿宋_GB2312" w:cs="仿宋_GB2312"/>
                <w:sz w:val="20"/>
                <w:szCs w:val="20"/>
                <w:lang w:eastAsia="zh-CN"/>
              </w:rPr>
              <w:t>；</w:t>
            </w:r>
          </w:p>
        </w:tc>
        <w:tc>
          <w:tcPr>
            <w:tcW w:w="863" w:type="dxa"/>
            <w:vMerge w:val="continue"/>
            <w:noWrap w:val="0"/>
            <w:vAlign w:val="center"/>
          </w:tcPr>
          <w:p>
            <w:pPr>
              <w:spacing w:line="300" w:lineRule="exact"/>
              <w:jc w:val="center"/>
              <w:rPr>
                <w:rFonts w:ascii="仿宋_GB2312" w:hAnsi="仿宋_GB2312" w:eastAsia="仿宋_GB2312" w:cs="仿宋_GB2312"/>
                <w:sz w:val="20"/>
                <w:szCs w:val="20"/>
              </w:rPr>
            </w:pPr>
          </w:p>
        </w:tc>
        <w:tc>
          <w:tcPr>
            <w:tcW w:w="1040" w:type="dxa"/>
            <w:noWrap w:val="0"/>
            <w:vAlign w:val="center"/>
          </w:tcPr>
          <w:p>
            <w:pPr>
              <w:spacing w:line="300" w:lineRule="exact"/>
              <w:jc w:val="center"/>
              <w:rPr>
                <w:rFonts w:hint="eastAsia"/>
                <w:lang w:eastAsia="zh-CN"/>
              </w:rPr>
            </w:pPr>
            <w:r>
              <w:rPr>
                <w:rFonts w:hint="eastAsia"/>
                <w:lang w:eastAsia="zh-CN"/>
              </w:rPr>
              <w:t>李琳</w:t>
            </w:r>
          </w:p>
        </w:tc>
        <w:tc>
          <w:tcPr>
            <w:tcW w:w="1538" w:type="dxa"/>
            <w:noWrap w:val="0"/>
            <w:vAlign w:val="center"/>
          </w:tcPr>
          <w:p>
            <w:pPr>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局防御处</w:t>
            </w:r>
          </w:p>
        </w:tc>
        <w:tc>
          <w:tcPr>
            <w:tcW w:w="1203" w:type="dxa"/>
            <w:noWrap w:val="0"/>
            <w:vAlign w:val="center"/>
          </w:tcPr>
          <w:p>
            <w:pPr>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排水事务中心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（五）</w:t>
            </w:r>
          </w:p>
        </w:tc>
        <w:tc>
          <w:tcPr>
            <w:tcW w:w="3178" w:type="dxa"/>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实施厂站网一体化运维管理，持续优化完善污水系统运行调度方案，系统提升污水收集处理效能。</w:t>
            </w:r>
          </w:p>
        </w:tc>
        <w:tc>
          <w:tcPr>
            <w:tcW w:w="863" w:type="dxa"/>
            <w:vMerge w:val="continue"/>
            <w:noWrap w:val="0"/>
            <w:vAlign w:val="center"/>
          </w:tcPr>
          <w:p>
            <w:pPr>
              <w:spacing w:line="300" w:lineRule="exact"/>
              <w:jc w:val="center"/>
              <w:rPr>
                <w:rFonts w:ascii="仿宋_GB2312" w:hAnsi="仿宋_GB2312" w:eastAsia="仿宋_GB2312" w:cs="仿宋_GB2312"/>
                <w:sz w:val="20"/>
                <w:szCs w:val="20"/>
              </w:rPr>
            </w:pPr>
          </w:p>
        </w:tc>
        <w:tc>
          <w:tcPr>
            <w:tcW w:w="1040"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eastAsia="zh-CN"/>
              </w:rPr>
              <w:t>李琳</w:t>
            </w:r>
          </w:p>
        </w:tc>
        <w:tc>
          <w:tcPr>
            <w:tcW w:w="1538"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排水事务中心</w:t>
            </w:r>
          </w:p>
        </w:tc>
        <w:tc>
          <w:tcPr>
            <w:tcW w:w="1203" w:type="dxa"/>
            <w:noWrap w:val="0"/>
            <w:vAlign w:val="center"/>
          </w:tcPr>
          <w:p>
            <w:pPr>
              <w:spacing w:line="300" w:lineRule="exact"/>
              <w:jc w:val="center"/>
              <w:rPr>
                <w:rFonts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（六）</w:t>
            </w:r>
          </w:p>
        </w:tc>
        <w:tc>
          <w:tcPr>
            <w:tcW w:w="3178" w:type="dxa"/>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加强对纳管企业排放废水的执法监管。2026年12月底前，对发生过超标进水、进水浓度偏高导致超标排放的污水处理厂服务范围进行排查，建立重点管控企业清单；对产生城镇污水处理厂没有能力去除特征污染物因子的相关企业，完善预处理设施；</w:t>
            </w:r>
          </w:p>
        </w:tc>
        <w:tc>
          <w:tcPr>
            <w:tcW w:w="863" w:type="dxa"/>
            <w:vMerge w:val="continue"/>
            <w:noWrap w:val="0"/>
            <w:vAlign w:val="center"/>
          </w:tcPr>
          <w:p>
            <w:pPr>
              <w:spacing w:line="300" w:lineRule="exact"/>
              <w:jc w:val="center"/>
              <w:rPr>
                <w:rFonts w:ascii="仿宋_GB2312" w:hAnsi="仿宋_GB2312" w:eastAsia="仿宋_GB2312" w:cs="仿宋_GB2312"/>
                <w:sz w:val="20"/>
                <w:szCs w:val="20"/>
              </w:rPr>
            </w:pPr>
          </w:p>
        </w:tc>
        <w:tc>
          <w:tcPr>
            <w:tcW w:w="1040"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eastAsia="zh-CN"/>
              </w:rPr>
              <w:t>李琳</w:t>
            </w:r>
          </w:p>
        </w:tc>
        <w:tc>
          <w:tcPr>
            <w:tcW w:w="1538"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局河长处</w:t>
            </w:r>
          </w:p>
        </w:tc>
        <w:tc>
          <w:tcPr>
            <w:tcW w:w="1203"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排水事务中心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eastAsia="zh-CN"/>
              </w:rPr>
              <w:t>七</w:t>
            </w:r>
            <w:r>
              <w:rPr>
                <w:rFonts w:hint="eastAsia" w:ascii="仿宋_GB2312" w:hAnsi="仿宋_GB2312" w:eastAsia="仿宋_GB2312" w:cs="仿宋_GB2312"/>
                <w:sz w:val="20"/>
                <w:szCs w:val="20"/>
              </w:rPr>
              <w:t>）</w:t>
            </w:r>
          </w:p>
        </w:tc>
        <w:tc>
          <w:tcPr>
            <w:tcW w:w="3178" w:type="dxa"/>
            <w:noWrap w:val="0"/>
            <w:vAlign w:val="center"/>
          </w:tcPr>
          <w:p>
            <w:pPr>
              <w:spacing w:line="30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对存在雨污混接、超标排污、偷排等违法行为的，发现一起，依法依规严厉查处一起，并加强行刑衔接，按相关规定开展生态环境损害赔偿。</w:t>
            </w:r>
          </w:p>
        </w:tc>
        <w:tc>
          <w:tcPr>
            <w:tcW w:w="863" w:type="dxa"/>
            <w:vMerge w:val="continue"/>
            <w:noWrap w:val="0"/>
            <w:vAlign w:val="center"/>
          </w:tcPr>
          <w:p>
            <w:pPr>
              <w:spacing w:line="300" w:lineRule="exact"/>
              <w:jc w:val="center"/>
              <w:rPr>
                <w:rFonts w:ascii="仿宋_GB2312" w:hAnsi="仿宋_GB2312" w:eastAsia="仿宋_GB2312" w:cs="仿宋_GB2312"/>
                <w:sz w:val="20"/>
                <w:szCs w:val="20"/>
              </w:rPr>
            </w:pPr>
          </w:p>
        </w:tc>
        <w:tc>
          <w:tcPr>
            <w:tcW w:w="1040" w:type="dxa"/>
            <w:noWrap w:val="0"/>
            <w:vAlign w:val="center"/>
          </w:tcPr>
          <w:p>
            <w:pPr>
              <w:spacing w:line="30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赵明</w:t>
            </w:r>
          </w:p>
        </w:tc>
        <w:tc>
          <w:tcPr>
            <w:tcW w:w="1538" w:type="dxa"/>
            <w:noWrap w:val="0"/>
            <w:vAlign w:val="center"/>
          </w:tcPr>
          <w:p>
            <w:pPr>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局法规处</w:t>
            </w:r>
          </w:p>
        </w:tc>
        <w:tc>
          <w:tcPr>
            <w:tcW w:w="1203" w:type="dxa"/>
            <w:noWrap w:val="0"/>
            <w:vAlign w:val="center"/>
          </w:tcPr>
          <w:p>
            <w:pPr>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执法总队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35" w:type="dxa"/>
            <w:vMerge w:val="continue"/>
            <w:noWrap w:val="0"/>
            <w:vAlign w:val="center"/>
          </w:tcPr>
          <w:p>
            <w:pPr>
              <w:spacing w:line="300" w:lineRule="exact"/>
              <w:jc w:val="center"/>
              <w:rPr>
                <w:rFonts w:ascii="仿宋_GB2312" w:hAnsi="仿宋_GB2312" w:eastAsia="仿宋_GB2312" w:cs="仿宋_GB2312"/>
                <w:sz w:val="20"/>
                <w:szCs w:val="20"/>
              </w:rPr>
            </w:pPr>
          </w:p>
        </w:tc>
        <w:tc>
          <w:tcPr>
            <w:tcW w:w="1223" w:type="dxa"/>
            <w:vMerge w:val="continue"/>
            <w:noWrap w:val="0"/>
            <w:vAlign w:val="center"/>
          </w:tcPr>
          <w:p>
            <w:pPr>
              <w:spacing w:line="300" w:lineRule="exact"/>
              <w:jc w:val="center"/>
              <w:rPr>
                <w:rFonts w:ascii="仿宋_GB2312" w:hAnsi="仿宋_GB2312" w:eastAsia="仿宋_GB2312" w:cs="仿宋_GB2312"/>
                <w:b/>
                <w:bCs/>
                <w:sz w:val="20"/>
                <w:szCs w:val="20"/>
              </w:rPr>
            </w:pPr>
          </w:p>
        </w:tc>
        <w:tc>
          <w:tcPr>
            <w:tcW w:w="1350" w:type="dxa"/>
            <w:vMerge w:val="continue"/>
            <w:noWrap w:val="0"/>
            <w:vAlign w:val="center"/>
          </w:tcPr>
          <w:p>
            <w:pPr>
              <w:spacing w:line="300" w:lineRule="exact"/>
              <w:jc w:val="center"/>
              <w:rPr>
                <w:rFonts w:ascii="仿宋_GB2312" w:hAnsi="仿宋_GB2312" w:eastAsia="仿宋_GB2312" w:cs="仿宋_GB2312"/>
                <w:sz w:val="20"/>
                <w:szCs w:val="20"/>
              </w:rPr>
            </w:pPr>
          </w:p>
        </w:tc>
        <w:tc>
          <w:tcPr>
            <w:tcW w:w="773" w:type="dxa"/>
            <w:vMerge w:val="continue"/>
            <w:noWrap w:val="0"/>
            <w:vAlign w:val="center"/>
          </w:tcPr>
          <w:p>
            <w:pPr>
              <w:spacing w:line="300" w:lineRule="exact"/>
              <w:jc w:val="center"/>
              <w:rPr>
                <w:rFonts w:ascii="仿宋_GB2312" w:hAnsi="仿宋_GB2312" w:eastAsia="仿宋_GB2312" w:cs="仿宋_GB2312"/>
                <w:sz w:val="20"/>
                <w:szCs w:val="20"/>
              </w:rPr>
            </w:pPr>
          </w:p>
        </w:tc>
        <w:tc>
          <w:tcPr>
            <w:tcW w:w="844" w:type="dxa"/>
            <w:vMerge w:val="continue"/>
            <w:noWrap w:val="0"/>
            <w:vAlign w:val="center"/>
          </w:tcPr>
          <w:p>
            <w:pPr>
              <w:spacing w:line="300" w:lineRule="exact"/>
              <w:jc w:val="center"/>
              <w:rPr>
                <w:rFonts w:ascii="仿宋_GB2312" w:hAnsi="仿宋_GB2312" w:eastAsia="仿宋_GB2312" w:cs="仿宋_GB2312"/>
                <w:sz w:val="20"/>
                <w:szCs w:val="20"/>
              </w:rPr>
            </w:pPr>
          </w:p>
        </w:tc>
        <w:tc>
          <w:tcPr>
            <w:tcW w:w="825"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eastAsia="zh-CN"/>
              </w:rPr>
              <w:t>八</w:t>
            </w:r>
            <w:r>
              <w:rPr>
                <w:rFonts w:hint="eastAsia" w:ascii="仿宋_GB2312" w:hAnsi="仿宋_GB2312" w:eastAsia="仿宋_GB2312" w:cs="仿宋_GB2312"/>
                <w:sz w:val="20"/>
                <w:szCs w:val="20"/>
              </w:rPr>
              <w:t>）</w:t>
            </w:r>
          </w:p>
        </w:tc>
        <w:tc>
          <w:tcPr>
            <w:tcW w:w="3178" w:type="dxa"/>
            <w:noWrap w:val="0"/>
            <w:vAlign w:val="center"/>
          </w:tcPr>
          <w:p>
            <w:pPr>
              <w:spacing w:line="30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按照生态环境部和农业农村部《关于进一步推进农村生活污水治理的指导意见》中提出的“三基本”的要求，2024年12月，研究制定本市实施意见，优化完善农村生活污水治理，强化农村生活污水常态长效管理。</w:t>
            </w:r>
          </w:p>
        </w:tc>
        <w:tc>
          <w:tcPr>
            <w:tcW w:w="863" w:type="dxa"/>
            <w:vMerge w:val="continue"/>
            <w:noWrap w:val="0"/>
            <w:vAlign w:val="center"/>
          </w:tcPr>
          <w:p>
            <w:pPr>
              <w:spacing w:line="300" w:lineRule="exact"/>
              <w:jc w:val="center"/>
              <w:rPr>
                <w:rFonts w:ascii="仿宋_GB2312" w:hAnsi="仿宋_GB2312" w:eastAsia="仿宋_GB2312" w:cs="仿宋_GB2312"/>
                <w:sz w:val="20"/>
                <w:szCs w:val="20"/>
              </w:rPr>
            </w:pPr>
          </w:p>
        </w:tc>
        <w:tc>
          <w:tcPr>
            <w:tcW w:w="1040"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eastAsia="zh-CN"/>
              </w:rPr>
              <w:t>阮仁良</w:t>
            </w:r>
          </w:p>
        </w:tc>
        <w:tc>
          <w:tcPr>
            <w:tcW w:w="1538"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局水利处</w:t>
            </w:r>
          </w:p>
        </w:tc>
        <w:tc>
          <w:tcPr>
            <w:tcW w:w="1203" w:type="dxa"/>
            <w:noWrap w:val="0"/>
            <w:vAlign w:val="center"/>
          </w:tcPr>
          <w:p>
            <w:pPr>
              <w:spacing w:line="30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水利事务中心</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p>
    <w:p>
      <w:pPr>
        <w:pStyle w:val="2"/>
        <w:rPr>
          <w:rFonts w:hint="eastAsia"/>
          <w:lang w:val="en-US" w:eastAsia="zh-CN"/>
        </w:rPr>
      </w:pPr>
    </w:p>
    <w:sectPr>
      <w:footerReference r:id="rId3" w:type="default"/>
      <w:footerReference r:id="rId4" w:type="even"/>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Times New Roman"/>
    <w:panose1 w:val="020B0604020202020204"/>
    <w:charset w:val="00"/>
    <w:family w:val="swiss"/>
    <w:pitch w:val="default"/>
    <w:sig w:usb0="FFFFFFFF" w:usb1="E9FFFFFF" w:usb2="0000003F" w:usb3="00000000" w:csb0="603F01FF" w:csb1="FFFF0000"/>
  </w:font>
  <w:font w:name="Cambria">
    <w:altName w:val="Noto Sans Syriac Eastern"/>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Helvetica Neue">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等线 Light">
    <w:altName w:val="汉仪中宋简"/>
    <w:panose1 w:val="02010600030101010101"/>
    <w:charset w:val="00"/>
    <w:family w:val="auto"/>
    <w:pitch w:val="default"/>
    <w:sig w:usb0="A00002BF" w:usb1="38CF7CFA"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767"/>
        <w:tab w:val="center" w:pos="4252"/>
      </w:tabs>
      <w:jc w:val="center"/>
      <w:rPr>
        <w:rFonts w:ascii="Calibri" w:hAnsi="Calibri"/>
      </w:rPr>
    </w:pPr>
    <w:r>
      <w:rPr>
        <w:rFonts w:ascii="Calibri" w:hAnsi="Calibri"/>
      </w:rPr>
      <w:fldChar w:fldCharType="begin"/>
    </w:r>
    <w:r>
      <w:rPr>
        <w:rFonts w:ascii="Calibri" w:hAnsi="Calibri"/>
      </w:rPr>
      <w:instrText xml:space="preserve">PAGE   \* MERGEFORMAT</w:instrText>
    </w:r>
    <w:r>
      <w:rPr>
        <w:rFonts w:ascii="Calibri" w:hAnsi="Calibri"/>
      </w:rPr>
      <w:fldChar w:fldCharType="separate"/>
    </w:r>
    <w:r>
      <w:rPr>
        <w:rFonts w:ascii="Calibri" w:hAnsi="Calibri"/>
        <w:lang w:val="zh-CN"/>
      </w:rPr>
      <w:t>1</w:t>
    </w:r>
    <w:r>
      <w:rPr>
        <w:rFonts w:ascii="Calibri" w:hAnsi="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6</w:t>
    </w:r>
    <w:r>
      <w:rPr>
        <w:sz w:val="21"/>
        <w:szCs w:val="21"/>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NGM1MzNiNWI0ODViM2VlY2MzMGVkYmRjMzc0Y2QifQ=="/>
  </w:docVars>
  <w:rsids>
    <w:rsidRoot w:val="00905DFD"/>
    <w:rsid w:val="00002007"/>
    <w:rsid w:val="0000281C"/>
    <w:rsid w:val="00005F76"/>
    <w:rsid w:val="000069BF"/>
    <w:rsid w:val="00013E66"/>
    <w:rsid w:val="00014DA4"/>
    <w:rsid w:val="00020587"/>
    <w:rsid w:val="00031882"/>
    <w:rsid w:val="0004715A"/>
    <w:rsid w:val="000474F5"/>
    <w:rsid w:val="00050971"/>
    <w:rsid w:val="000519C3"/>
    <w:rsid w:val="000577F8"/>
    <w:rsid w:val="0006145D"/>
    <w:rsid w:val="00074F00"/>
    <w:rsid w:val="000754C5"/>
    <w:rsid w:val="0008239C"/>
    <w:rsid w:val="00083063"/>
    <w:rsid w:val="00094EE6"/>
    <w:rsid w:val="0009557D"/>
    <w:rsid w:val="000A50A1"/>
    <w:rsid w:val="000B195C"/>
    <w:rsid w:val="000B4659"/>
    <w:rsid w:val="000C00F6"/>
    <w:rsid w:val="000C4428"/>
    <w:rsid w:val="000C7745"/>
    <w:rsid w:val="000D261E"/>
    <w:rsid w:val="000D36C7"/>
    <w:rsid w:val="000E4DC2"/>
    <w:rsid w:val="000F4254"/>
    <w:rsid w:val="00115A11"/>
    <w:rsid w:val="00123557"/>
    <w:rsid w:val="00126E37"/>
    <w:rsid w:val="001309F0"/>
    <w:rsid w:val="00132A6D"/>
    <w:rsid w:val="00140B94"/>
    <w:rsid w:val="00154DAF"/>
    <w:rsid w:val="0015531E"/>
    <w:rsid w:val="00156A15"/>
    <w:rsid w:val="001600D0"/>
    <w:rsid w:val="00164651"/>
    <w:rsid w:val="001715C8"/>
    <w:rsid w:val="00171E40"/>
    <w:rsid w:val="00174940"/>
    <w:rsid w:val="001813C9"/>
    <w:rsid w:val="00186BBF"/>
    <w:rsid w:val="001A0D91"/>
    <w:rsid w:val="001B1705"/>
    <w:rsid w:val="001C4FE5"/>
    <w:rsid w:val="001C707A"/>
    <w:rsid w:val="001D1370"/>
    <w:rsid w:val="001D3B17"/>
    <w:rsid w:val="001D5E49"/>
    <w:rsid w:val="001E1345"/>
    <w:rsid w:val="001E5BDE"/>
    <w:rsid w:val="001F6230"/>
    <w:rsid w:val="00200A64"/>
    <w:rsid w:val="00204191"/>
    <w:rsid w:val="00205CD1"/>
    <w:rsid w:val="002065A7"/>
    <w:rsid w:val="00222C52"/>
    <w:rsid w:val="00230AC3"/>
    <w:rsid w:val="00253F5D"/>
    <w:rsid w:val="00254C6B"/>
    <w:rsid w:val="00255F32"/>
    <w:rsid w:val="002627DD"/>
    <w:rsid w:val="002805B7"/>
    <w:rsid w:val="00281CD8"/>
    <w:rsid w:val="00283480"/>
    <w:rsid w:val="002956BB"/>
    <w:rsid w:val="002B5FA6"/>
    <w:rsid w:val="002B7EA1"/>
    <w:rsid w:val="002C1B69"/>
    <w:rsid w:val="002C2046"/>
    <w:rsid w:val="002D295E"/>
    <w:rsid w:val="002D3450"/>
    <w:rsid w:val="002D6FA1"/>
    <w:rsid w:val="002E122F"/>
    <w:rsid w:val="002E15F6"/>
    <w:rsid w:val="002E1AFE"/>
    <w:rsid w:val="002E389F"/>
    <w:rsid w:val="002E39CD"/>
    <w:rsid w:val="002E5CB3"/>
    <w:rsid w:val="002F3FA1"/>
    <w:rsid w:val="002F4AC7"/>
    <w:rsid w:val="00306356"/>
    <w:rsid w:val="003147A2"/>
    <w:rsid w:val="0031625D"/>
    <w:rsid w:val="0031636D"/>
    <w:rsid w:val="0033327D"/>
    <w:rsid w:val="00335E8C"/>
    <w:rsid w:val="00336857"/>
    <w:rsid w:val="00351710"/>
    <w:rsid w:val="003531E9"/>
    <w:rsid w:val="00355D5A"/>
    <w:rsid w:val="00365048"/>
    <w:rsid w:val="00372E0C"/>
    <w:rsid w:val="003775E8"/>
    <w:rsid w:val="00381D02"/>
    <w:rsid w:val="00385688"/>
    <w:rsid w:val="003A3125"/>
    <w:rsid w:val="003B264E"/>
    <w:rsid w:val="003B57BF"/>
    <w:rsid w:val="003C3325"/>
    <w:rsid w:val="003D025C"/>
    <w:rsid w:val="003D2B96"/>
    <w:rsid w:val="003E57E3"/>
    <w:rsid w:val="003F2461"/>
    <w:rsid w:val="003F296D"/>
    <w:rsid w:val="003F53D8"/>
    <w:rsid w:val="003F7D40"/>
    <w:rsid w:val="00404556"/>
    <w:rsid w:val="0040605F"/>
    <w:rsid w:val="00413DD7"/>
    <w:rsid w:val="00413F49"/>
    <w:rsid w:val="00423634"/>
    <w:rsid w:val="00423D5B"/>
    <w:rsid w:val="004244A7"/>
    <w:rsid w:val="00430E55"/>
    <w:rsid w:val="0043480C"/>
    <w:rsid w:val="0044062E"/>
    <w:rsid w:val="00443134"/>
    <w:rsid w:val="004433C8"/>
    <w:rsid w:val="004439E3"/>
    <w:rsid w:val="00446BB7"/>
    <w:rsid w:val="00447AF8"/>
    <w:rsid w:val="00455494"/>
    <w:rsid w:val="00455A44"/>
    <w:rsid w:val="00463E1F"/>
    <w:rsid w:val="00465711"/>
    <w:rsid w:val="00467F51"/>
    <w:rsid w:val="00482A72"/>
    <w:rsid w:val="004858E2"/>
    <w:rsid w:val="004858EE"/>
    <w:rsid w:val="00487A29"/>
    <w:rsid w:val="00487FF5"/>
    <w:rsid w:val="004959A2"/>
    <w:rsid w:val="004A00D7"/>
    <w:rsid w:val="004A2300"/>
    <w:rsid w:val="004C0BF1"/>
    <w:rsid w:val="004C1D65"/>
    <w:rsid w:val="004C3BEF"/>
    <w:rsid w:val="004C6FD4"/>
    <w:rsid w:val="004C7E39"/>
    <w:rsid w:val="004D13AA"/>
    <w:rsid w:val="004D3126"/>
    <w:rsid w:val="004E358C"/>
    <w:rsid w:val="004E5745"/>
    <w:rsid w:val="004E5B5E"/>
    <w:rsid w:val="004F0FE6"/>
    <w:rsid w:val="004F4FA7"/>
    <w:rsid w:val="004F518B"/>
    <w:rsid w:val="004F6378"/>
    <w:rsid w:val="005033E7"/>
    <w:rsid w:val="00505171"/>
    <w:rsid w:val="005055E5"/>
    <w:rsid w:val="0052657D"/>
    <w:rsid w:val="00526D2B"/>
    <w:rsid w:val="005431F6"/>
    <w:rsid w:val="005433DC"/>
    <w:rsid w:val="00596E1A"/>
    <w:rsid w:val="005A334A"/>
    <w:rsid w:val="005B4859"/>
    <w:rsid w:val="005B48D0"/>
    <w:rsid w:val="005B5BEA"/>
    <w:rsid w:val="005B654B"/>
    <w:rsid w:val="005C57A0"/>
    <w:rsid w:val="005D027C"/>
    <w:rsid w:val="005D6B82"/>
    <w:rsid w:val="005E05F6"/>
    <w:rsid w:val="005F27E1"/>
    <w:rsid w:val="005F347F"/>
    <w:rsid w:val="005F5D74"/>
    <w:rsid w:val="005F61FA"/>
    <w:rsid w:val="006025E3"/>
    <w:rsid w:val="00603C78"/>
    <w:rsid w:val="00606A16"/>
    <w:rsid w:val="00613356"/>
    <w:rsid w:val="00616396"/>
    <w:rsid w:val="006230EA"/>
    <w:rsid w:val="00627F81"/>
    <w:rsid w:val="006323D7"/>
    <w:rsid w:val="00635438"/>
    <w:rsid w:val="00637A79"/>
    <w:rsid w:val="00642FFE"/>
    <w:rsid w:val="006477FD"/>
    <w:rsid w:val="00677684"/>
    <w:rsid w:val="00684D50"/>
    <w:rsid w:val="00694351"/>
    <w:rsid w:val="006A0F74"/>
    <w:rsid w:val="006B082D"/>
    <w:rsid w:val="006B0FF9"/>
    <w:rsid w:val="006B3421"/>
    <w:rsid w:val="006B492D"/>
    <w:rsid w:val="006D0F51"/>
    <w:rsid w:val="006E1A98"/>
    <w:rsid w:val="006E2229"/>
    <w:rsid w:val="006E5D58"/>
    <w:rsid w:val="006E7D42"/>
    <w:rsid w:val="006F6E6D"/>
    <w:rsid w:val="006F7135"/>
    <w:rsid w:val="00704866"/>
    <w:rsid w:val="007057DD"/>
    <w:rsid w:val="0072007D"/>
    <w:rsid w:val="00720C70"/>
    <w:rsid w:val="007236E0"/>
    <w:rsid w:val="007256C2"/>
    <w:rsid w:val="00725FDD"/>
    <w:rsid w:val="00732658"/>
    <w:rsid w:val="00733499"/>
    <w:rsid w:val="00737526"/>
    <w:rsid w:val="007528F1"/>
    <w:rsid w:val="007535E2"/>
    <w:rsid w:val="007576EB"/>
    <w:rsid w:val="00771117"/>
    <w:rsid w:val="00772AF0"/>
    <w:rsid w:val="00774752"/>
    <w:rsid w:val="007758A6"/>
    <w:rsid w:val="00782339"/>
    <w:rsid w:val="00782B76"/>
    <w:rsid w:val="00783A38"/>
    <w:rsid w:val="0078771F"/>
    <w:rsid w:val="00796783"/>
    <w:rsid w:val="007A4446"/>
    <w:rsid w:val="007B0A45"/>
    <w:rsid w:val="007B2DEA"/>
    <w:rsid w:val="007B3657"/>
    <w:rsid w:val="007B4864"/>
    <w:rsid w:val="007C0927"/>
    <w:rsid w:val="007C2855"/>
    <w:rsid w:val="007D4E75"/>
    <w:rsid w:val="007D5133"/>
    <w:rsid w:val="007E4E69"/>
    <w:rsid w:val="007E5C55"/>
    <w:rsid w:val="007F4589"/>
    <w:rsid w:val="007F53D0"/>
    <w:rsid w:val="007F575A"/>
    <w:rsid w:val="007F64B9"/>
    <w:rsid w:val="008018AA"/>
    <w:rsid w:val="0081211A"/>
    <w:rsid w:val="008141E8"/>
    <w:rsid w:val="00816425"/>
    <w:rsid w:val="00825AC0"/>
    <w:rsid w:val="00825FEE"/>
    <w:rsid w:val="00830CBD"/>
    <w:rsid w:val="0083597D"/>
    <w:rsid w:val="00841FBB"/>
    <w:rsid w:val="00853974"/>
    <w:rsid w:val="00853E97"/>
    <w:rsid w:val="00856B9A"/>
    <w:rsid w:val="008608FB"/>
    <w:rsid w:val="00860E09"/>
    <w:rsid w:val="008827D4"/>
    <w:rsid w:val="00886DE5"/>
    <w:rsid w:val="00887552"/>
    <w:rsid w:val="008A5BCA"/>
    <w:rsid w:val="008A723F"/>
    <w:rsid w:val="008B0731"/>
    <w:rsid w:val="008C4296"/>
    <w:rsid w:val="008C52B1"/>
    <w:rsid w:val="008C7403"/>
    <w:rsid w:val="008D6EC1"/>
    <w:rsid w:val="008E4E22"/>
    <w:rsid w:val="008E55D8"/>
    <w:rsid w:val="008F773B"/>
    <w:rsid w:val="00900CD1"/>
    <w:rsid w:val="009017D1"/>
    <w:rsid w:val="00905DFD"/>
    <w:rsid w:val="00912182"/>
    <w:rsid w:val="00912272"/>
    <w:rsid w:val="0091443E"/>
    <w:rsid w:val="0091501D"/>
    <w:rsid w:val="00924364"/>
    <w:rsid w:val="00931704"/>
    <w:rsid w:val="00932437"/>
    <w:rsid w:val="0093341D"/>
    <w:rsid w:val="00942F22"/>
    <w:rsid w:val="009451E6"/>
    <w:rsid w:val="009475BD"/>
    <w:rsid w:val="00953263"/>
    <w:rsid w:val="00962021"/>
    <w:rsid w:val="00962974"/>
    <w:rsid w:val="00963548"/>
    <w:rsid w:val="00970F7C"/>
    <w:rsid w:val="00973D3E"/>
    <w:rsid w:val="009809CF"/>
    <w:rsid w:val="00983052"/>
    <w:rsid w:val="00984287"/>
    <w:rsid w:val="00990169"/>
    <w:rsid w:val="00992CB2"/>
    <w:rsid w:val="009937CD"/>
    <w:rsid w:val="009953FD"/>
    <w:rsid w:val="009A6D0A"/>
    <w:rsid w:val="009B6357"/>
    <w:rsid w:val="009B7AD0"/>
    <w:rsid w:val="009C4BCC"/>
    <w:rsid w:val="009C6FBB"/>
    <w:rsid w:val="009D6669"/>
    <w:rsid w:val="009E60CF"/>
    <w:rsid w:val="009F0A93"/>
    <w:rsid w:val="009F3B1E"/>
    <w:rsid w:val="009F4AAF"/>
    <w:rsid w:val="009F4EFC"/>
    <w:rsid w:val="00A02490"/>
    <w:rsid w:val="00A02805"/>
    <w:rsid w:val="00A07488"/>
    <w:rsid w:val="00A12F37"/>
    <w:rsid w:val="00A251C3"/>
    <w:rsid w:val="00A3375E"/>
    <w:rsid w:val="00A379C3"/>
    <w:rsid w:val="00A44F6E"/>
    <w:rsid w:val="00A63D59"/>
    <w:rsid w:val="00A63E84"/>
    <w:rsid w:val="00A7582C"/>
    <w:rsid w:val="00A80B90"/>
    <w:rsid w:val="00A80EF9"/>
    <w:rsid w:val="00A84EB3"/>
    <w:rsid w:val="00A86073"/>
    <w:rsid w:val="00A86626"/>
    <w:rsid w:val="00A93606"/>
    <w:rsid w:val="00A938D2"/>
    <w:rsid w:val="00A959AE"/>
    <w:rsid w:val="00A96530"/>
    <w:rsid w:val="00AA0E62"/>
    <w:rsid w:val="00AA3694"/>
    <w:rsid w:val="00AA575A"/>
    <w:rsid w:val="00AA5E3A"/>
    <w:rsid w:val="00AA5EF0"/>
    <w:rsid w:val="00AB6524"/>
    <w:rsid w:val="00AB6D88"/>
    <w:rsid w:val="00AD5710"/>
    <w:rsid w:val="00AD6083"/>
    <w:rsid w:val="00AE5733"/>
    <w:rsid w:val="00AE5E93"/>
    <w:rsid w:val="00AE6C80"/>
    <w:rsid w:val="00B00F09"/>
    <w:rsid w:val="00B04B8C"/>
    <w:rsid w:val="00B04BC4"/>
    <w:rsid w:val="00B05C6C"/>
    <w:rsid w:val="00B06984"/>
    <w:rsid w:val="00B14D9E"/>
    <w:rsid w:val="00B17998"/>
    <w:rsid w:val="00B204E9"/>
    <w:rsid w:val="00B217DE"/>
    <w:rsid w:val="00B35D23"/>
    <w:rsid w:val="00B4565D"/>
    <w:rsid w:val="00B50FDA"/>
    <w:rsid w:val="00B511C2"/>
    <w:rsid w:val="00B54B0C"/>
    <w:rsid w:val="00B6710E"/>
    <w:rsid w:val="00B67691"/>
    <w:rsid w:val="00B74E1F"/>
    <w:rsid w:val="00B75181"/>
    <w:rsid w:val="00B81EC4"/>
    <w:rsid w:val="00B90C2C"/>
    <w:rsid w:val="00B90C81"/>
    <w:rsid w:val="00B957F8"/>
    <w:rsid w:val="00B96E78"/>
    <w:rsid w:val="00BA37C2"/>
    <w:rsid w:val="00BA40C2"/>
    <w:rsid w:val="00BB6BE3"/>
    <w:rsid w:val="00BC11BD"/>
    <w:rsid w:val="00BC798F"/>
    <w:rsid w:val="00BD56DB"/>
    <w:rsid w:val="00BD7834"/>
    <w:rsid w:val="00BE1C03"/>
    <w:rsid w:val="00BF4A9A"/>
    <w:rsid w:val="00C0511F"/>
    <w:rsid w:val="00C11030"/>
    <w:rsid w:val="00C14FEB"/>
    <w:rsid w:val="00C16DF4"/>
    <w:rsid w:val="00C2123B"/>
    <w:rsid w:val="00C23168"/>
    <w:rsid w:val="00C30F6D"/>
    <w:rsid w:val="00C370B4"/>
    <w:rsid w:val="00C3797F"/>
    <w:rsid w:val="00C40823"/>
    <w:rsid w:val="00C4209D"/>
    <w:rsid w:val="00C44AF9"/>
    <w:rsid w:val="00C47D52"/>
    <w:rsid w:val="00C5214F"/>
    <w:rsid w:val="00C52D5F"/>
    <w:rsid w:val="00C538EF"/>
    <w:rsid w:val="00C55279"/>
    <w:rsid w:val="00C56C16"/>
    <w:rsid w:val="00C6134B"/>
    <w:rsid w:val="00C83307"/>
    <w:rsid w:val="00C84FDA"/>
    <w:rsid w:val="00C871B8"/>
    <w:rsid w:val="00C90BE5"/>
    <w:rsid w:val="00C90E22"/>
    <w:rsid w:val="00C919DF"/>
    <w:rsid w:val="00C9770D"/>
    <w:rsid w:val="00CA5605"/>
    <w:rsid w:val="00CA588F"/>
    <w:rsid w:val="00CA5D9F"/>
    <w:rsid w:val="00CB25B8"/>
    <w:rsid w:val="00CB279D"/>
    <w:rsid w:val="00CB4AF6"/>
    <w:rsid w:val="00CB5159"/>
    <w:rsid w:val="00CB6BD8"/>
    <w:rsid w:val="00CC4DB9"/>
    <w:rsid w:val="00CC5634"/>
    <w:rsid w:val="00CD7220"/>
    <w:rsid w:val="00CD738A"/>
    <w:rsid w:val="00CD7D6A"/>
    <w:rsid w:val="00CD7E86"/>
    <w:rsid w:val="00CE4183"/>
    <w:rsid w:val="00CF573B"/>
    <w:rsid w:val="00CF6F8D"/>
    <w:rsid w:val="00CF7C2A"/>
    <w:rsid w:val="00D1138C"/>
    <w:rsid w:val="00D11C3A"/>
    <w:rsid w:val="00D128BE"/>
    <w:rsid w:val="00D146A4"/>
    <w:rsid w:val="00D16710"/>
    <w:rsid w:val="00D21851"/>
    <w:rsid w:val="00D22A10"/>
    <w:rsid w:val="00D24A38"/>
    <w:rsid w:val="00D30D63"/>
    <w:rsid w:val="00D329B9"/>
    <w:rsid w:val="00D40926"/>
    <w:rsid w:val="00D43459"/>
    <w:rsid w:val="00D43C78"/>
    <w:rsid w:val="00D444C1"/>
    <w:rsid w:val="00D52A9C"/>
    <w:rsid w:val="00D54E65"/>
    <w:rsid w:val="00D55976"/>
    <w:rsid w:val="00D601DF"/>
    <w:rsid w:val="00D62A2B"/>
    <w:rsid w:val="00D70A7F"/>
    <w:rsid w:val="00D938C8"/>
    <w:rsid w:val="00D95374"/>
    <w:rsid w:val="00DA0271"/>
    <w:rsid w:val="00DA3F57"/>
    <w:rsid w:val="00DA493F"/>
    <w:rsid w:val="00DB2350"/>
    <w:rsid w:val="00DB3DC6"/>
    <w:rsid w:val="00DB6280"/>
    <w:rsid w:val="00DC2AAF"/>
    <w:rsid w:val="00DC46A2"/>
    <w:rsid w:val="00DD3392"/>
    <w:rsid w:val="00DD5640"/>
    <w:rsid w:val="00DE26FF"/>
    <w:rsid w:val="00DE3B1B"/>
    <w:rsid w:val="00DF58D3"/>
    <w:rsid w:val="00DF6895"/>
    <w:rsid w:val="00E03804"/>
    <w:rsid w:val="00E0409E"/>
    <w:rsid w:val="00E10E3E"/>
    <w:rsid w:val="00E14951"/>
    <w:rsid w:val="00E245A2"/>
    <w:rsid w:val="00E41CC7"/>
    <w:rsid w:val="00E47816"/>
    <w:rsid w:val="00E532AB"/>
    <w:rsid w:val="00E553D4"/>
    <w:rsid w:val="00E57122"/>
    <w:rsid w:val="00E64267"/>
    <w:rsid w:val="00E7390D"/>
    <w:rsid w:val="00E845EF"/>
    <w:rsid w:val="00E9176E"/>
    <w:rsid w:val="00E927CE"/>
    <w:rsid w:val="00E93FA0"/>
    <w:rsid w:val="00E94C2E"/>
    <w:rsid w:val="00E954AD"/>
    <w:rsid w:val="00E97C10"/>
    <w:rsid w:val="00EA14A4"/>
    <w:rsid w:val="00EA1933"/>
    <w:rsid w:val="00EA2DD4"/>
    <w:rsid w:val="00EB439C"/>
    <w:rsid w:val="00EC3877"/>
    <w:rsid w:val="00EE23FC"/>
    <w:rsid w:val="00EF1D2E"/>
    <w:rsid w:val="00F016B5"/>
    <w:rsid w:val="00F04F18"/>
    <w:rsid w:val="00F11B9C"/>
    <w:rsid w:val="00F1228D"/>
    <w:rsid w:val="00F15B61"/>
    <w:rsid w:val="00F1697A"/>
    <w:rsid w:val="00F21BD4"/>
    <w:rsid w:val="00F23645"/>
    <w:rsid w:val="00F27ACD"/>
    <w:rsid w:val="00F35909"/>
    <w:rsid w:val="00F405E1"/>
    <w:rsid w:val="00F41533"/>
    <w:rsid w:val="00F4587E"/>
    <w:rsid w:val="00F547C4"/>
    <w:rsid w:val="00F55F10"/>
    <w:rsid w:val="00F61444"/>
    <w:rsid w:val="00F63E2F"/>
    <w:rsid w:val="00F6607C"/>
    <w:rsid w:val="00F73279"/>
    <w:rsid w:val="00F77DB9"/>
    <w:rsid w:val="00F8290B"/>
    <w:rsid w:val="00F86FFD"/>
    <w:rsid w:val="00F9340E"/>
    <w:rsid w:val="00FA69C9"/>
    <w:rsid w:val="00FA749B"/>
    <w:rsid w:val="00FA7C2D"/>
    <w:rsid w:val="00FB2F26"/>
    <w:rsid w:val="00FC0F0B"/>
    <w:rsid w:val="00FC12CE"/>
    <w:rsid w:val="00FC5E16"/>
    <w:rsid w:val="00FC6E2F"/>
    <w:rsid w:val="00FD19AE"/>
    <w:rsid w:val="00FD37F0"/>
    <w:rsid w:val="00FD7C43"/>
    <w:rsid w:val="00FE34E3"/>
    <w:rsid w:val="00FE65BB"/>
    <w:rsid w:val="00FE7E54"/>
    <w:rsid w:val="00FF358E"/>
    <w:rsid w:val="08CE2541"/>
    <w:rsid w:val="0D6A27A8"/>
    <w:rsid w:val="0E6A3B41"/>
    <w:rsid w:val="11DC45DB"/>
    <w:rsid w:val="150E58DF"/>
    <w:rsid w:val="18234299"/>
    <w:rsid w:val="1B374297"/>
    <w:rsid w:val="29797630"/>
    <w:rsid w:val="2B1D640C"/>
    <w:rsid w:val="2C581FEC"/>
    <w:rsid w:val="31AF2660"/>
    <w:rsid w:val="31B15E98"/>
    <w:rsid w:val="3697F908"/>
    <w:rsid w:val="36DE033D"/>
    <w:rsid w:val="36ED4C29"/>
    <w:rsid w:val="37DD6DCC"/>
    <w:rsid w:val="3CB4A509"/>
    <w:rsid w:val="3F214472"/>
    <w:rsid w:val="3FDD72AC"/>
    <w:rsid w:val="3FF37861"/>
    <w:rsid w:val="40B67949"/>
    <w:rsid w:val="42ED123B"/>
    <w:rsid w:val="439972C9"/>
    <w:rsid w:val="47F78450"/>
    <w:rsid w:val="48AC67C0"/>
    <w:rsid w:val="49414FC0"/>
    <w:rsid w:val="4CF78D17"/>
    <w:rsid w:val="50755AB0"/>
    <w:rsid w:val="508800DC"/>
    <w:rsid w:val="54314502"/>
    <w:rsid w:val="555FA5DF"/>
    <w:rsid w:val="56982559"/>
    <w:rsid w:val="5FBF5750"/>
    <w:rsid w:val="5FFB398B"/>
    <w:rsid w:val="624615C7"/>
    <w:rsid w:val="6978204F"/>
    <w:rsid w:val="6BDB234E"/>
    <w:rsid w:val="6CBE53FF"/>
    <w:rsid w:val="6F240E42"/>
    <w:rsid w:val="6F96FF64"/>
    <w:rsid w:val="6F9FCB41"/>
    <w:rsid w:val="6FA10527"/>
    <w:rsid w:val="729F98C8"/>
    <w:rsid w:val="72FF75BF"/>
    <w:rsid w:val="73700F48"/>
    <w:rsid w:val="73BF8C27"/>
    <w:rsid w:val="767FB12C"/>
    <w:rsid w:val="77A821E0"/>
    <w:rsid w:val="77F77E13"/>
    <w:rsid w:val="79CC5EC8"/>
    <w:rsid w:val="7AD41939"/>
    <w:rsid w:val="7AFF1709"/>
    <w:rsid w:val="7BAF2DE4"/>
    <w:rsid w:val="7D7D6A7A"/>
    <w:rsid w:val="7E0230E5"/>
    <w:rsid w:val="7F3777CF"/>
    <w:rsid w:val="7F7FE3FF"/>
    <w:rsid w:val="7FE108A6"/>
    <w:rsid w:val="7FE50BD4"/>
    <w:rsid w:val="95737D20"/>
    <w:rsid w:val="9FFBE524"/>
    <w:rsid w:val="A3F7B2EE"/>
    <w:rsid w:val="BD2F671D"/>
    <w:rsid w:val="E3E50A69"/>
    <w:rsid w:val="E7DE5AE4"/>
    <w:rsid w:val="EDEFBA18"/>
    <w:rsid w:val="EE7DC64E"/>
    <w:rsid w:val="EEDE1885"/>
    <w:rsid w:val="EF7E4310"/>
    <w:rsid w:val="F0FF760C"/>
    <w:rsid w:val="F7DD72FD"/>
    <w:rsid w:val="FABF27BA"/>
    <w:rsid w:val="FCE71C56"/>
    <w:rsid w:val="FDEFB6F1"/>
    <w:rsid w:val="FDFD57E8"/>
    <w:rsid w:val="FE3FA6BD"/>
    <w:rsid w:val="FFDFF8CC"/>
    <w:rsid w:val="FFFE30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next w:val="1"/>
    <w:link w:val="21"/>
    <w:qFormat/>
    <w:uiPriority w:val="0"/>
    <w:pPr>
      <w:keepNext/>
      <w:keepLines/>
      <w:framePr w:wrap="around" w:vAnchor="margin" w:hAnchor="text" w:y="1"/>
      <w:widowControl w:val="0"/>
      <w:spacing w:line="360" w:lineRule="auto"/>
      <w:ind w:firstLine="606"/>
      <w:jc w:val="both"/>
      <w:outlineLvl w:val="1"/>
    </w:pPr>
    <w:rPr>
      <w:rFonts w:hint="eastAsia" w:ascii="Arial Unicode MS" w:hAnsi="Arial Unicode MS" w:eastAsia="Arial Unicode MS" w:cs="Arial Unicode MS"/>
      <w:color w:val="000000"/>
      <w:kern w:val="2"/>
      <w:sz w:val="30"/>
      <w:szCs w:val="30"/>
      <w:lang w:val="en-US" w:eastAsia="zh-CN" w:bidi="ar-SA"/>
    </w:rPr>
  </w:style>
  <w:style w:type="paragraph" w:styleId="6">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5">
    <w:name w:val="Normal Table"/>
    <w:unhideWhenUsed/>
    <w:qFormat/>
    <w:uiPriority w:val="99"/>
    <w:tblPr>
      <w:tblStyle w:val="15"/>
      <w:tblCellMar>
        <w:top w:w="0" w:type="dxa"/>
        <w:left w:w="108" w:type="dxa"/>
        <w:bottom w:w="0" w:type="dxa"/>
        <w:right w:w="108" w:type="dxa"/>
      </w:tblCellMar>
    </w:tblPr>
  </w:style>
  <w:style w:type="paragraph" w:styleId="2">
    <w:name w:val="Body Text"/>
    <w:basedOn w:val="1"/>
    <w:next w:val="3"/>
    <w:link w:val="20"/>
    <w:unhideWhenUsed/>
    <w:qFormat/>
    <w:uiPriority w:val="99"/>
    <w:pPr>
      <w:spacing w:after="120"/>
    </w:p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1"/>
    <w:unhideWhenUsed/>
    <w:qFormat/>
    <w:uiPriority w:val="99"/>
    <w:pPr>
      <w:spacing w:after="120"/>
      <w:ind w:left="420" w:leftChars="200"/>
    </w:pPr>
  </w:style>
  <w:style w:type="paragraph" w:styleId="7">
    <w:name w:val="annotation text"/>
    <w:basedOn w:val="1"/>
    <w:link w:val="23"/>
    <w:qFormat/>
    <w:uiPriority w:val="0"/>
    <w:pPr>
      <w:jc w:val="left"/>
    </w:pPr>
  </w:style>
  <w:style w:type="paragraph" w:styleId="8">
    <w:name w:val="Date"/>
    <w:basedOn w:val="1"/>
    <w:next w:val="1"/>
    <w:link w:val="24"/>
    <w:unhideWhenUsed/>
    <w:qFormat/>
    <w:uiPriority w:val="99"/>
    <w:pPr>
      <w:ind w:left="100" w:leftChars="2500"/>
    </w:pPr>
  </w:style>
  <w:style w:type="paragraph" w:styleId="9">
    <w:name w:val="Balloon Text"/>
    <w:basedOn w:val="1"/>
    <w:link w:val="25"/>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qFormat/>
    <w:uiPriority w:val="99"/>
    <w:pPr>
      <w:framePr w:wrap="around" w:vAnchor="margin" w:hAnchor="text" w:y="1"/>
      <w:widowControl w:val="0"/>
      <w:spacing w:before="100" w:after="100" w:line="560" w:lineRule="exact"/>
      <w:ind w:firstLine="200"/>
      <w:jc w:val="both"/>
    </w:pPr>
    <w:rPr>
      <w:rFonts w:ascii="宋体" w:hAnsi="宋体" w:eastAsia="宋体" w:cs="宋体"/>
      <w:color w:val="000000"/>
      <w:kern w:val="0"/>
      <w:sz w:val="24"/>
      <w:szCs w:val="24"/>
      <w:lang w:val="en-US" w:eastAsia="zh-CN" w:bidi="ar-SA"/>
    </w:rPr>
  </w:style>
  <w:style w:type="paragraph" w:styleId="13">
    <w:name w:val="Title"/>
    <w:basedOn w:val="1"/>
    <w:next w:val="1"/>
    <w:link w:val="30"/>
    <w:qFormat/>
    <w:uiPriority w:val="10"/>
    <w:pPr>
      <w:spacing w:before="240" w:after="60"/>
      <w:jc w:val="center"/>
      <w:outlineLvl w:val="0"/>
    </w:pPr>
    <w:rPr>
      <w:rFonts w:ascii="Cambria" w:hAnsi="Cambria" w:eastAsia="宋体"/>
      <w:b/>
      <w:bCs/>
      <w:sz w:val="32"/>
      <w:szCs w:val="32"/>
    </w:rPr>
  </w:style>
  <w:style w:type="paragraph" w:styleId="14">
    <w:name w:val="Body Text First Indent"/>
    <w:basedOn w:val="2"/>
    <w:link w:val="29"/>
    <w:qFormat/>
    <w:uiPriority w:val="0"/>
    <w:pPr>
      <w:ind w:firstLine="420" w:firstLineChars="100"/>
    </w:pPr>
  </w:style>
  <w:style w:type="table" w:styleId="16">
    <w:name w:val="Table Grid"/>
    <w:basedOn w:val="15"/>
    <w:qFormat/>
    <w:uiPriority w:val="59"/>
    <w:tblPr>
      <w:tblStyle w:val="1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Hyperlink"/>
    <w:qFormat/>
    <w:uiPriority w:val="0"/>
    <w:rPr>
      <w:u w:val="single"/>
    </w:rPr>
  </w:style>
  <w:style w:type="character" w:styleId="19">
    <w:name w:val="annotation reference"/>
    <w:qFormat/>
    <w:uiPriority w:val="0"/>
    <w:rPr>
      <w:sz w:val="21"/>
      <w:szCs w:val="21"/>
    </w:rPr>
  </w:style>
  <w:style w:type="character" w:customStyle="1" w:styleId="20">
    <w:name w:val="正文文本 Char"/>
    <w:basedOn w:val="17"/>
    <w:link w:val="2"/>
    <w:semiHidden/>
    <w:qFormat/>
    <w:uiPriority w:val="99"/>
    <w:rPr>
      <w:rFonts w:ascii="Times New Roman" w:hAnsi="Times New Roman" w:eastAsia="宋体" w:cs="Times New Roman"/>
      <w:szCs w:val="24"/>
    </w:rPr>
  </w:style>
  <w:style w:type="character" w:customStyle="1" w:styleId="21">
    <w:name w:val="标题 2 Char"/>
    <w:basedOn w:val="17"/>
    <w:link w:val="5"/>
    <w:qFormat/>
    <w:uiPriority w:val="0"/>
    <w:rPr>
      <w:rFonts w:ascii="Arial Unicode MS" w:hAnsi="Arial Unicode MS" w:eastAsia="Arial Unicode MS" w:cs="Arial Unicode MS"/>
      <w:color w:val="000000"/>
      <w:sz w:val="30"/>
      <w:szCs w:val="30"/>
    </w:rPr>
  </w:style>
  <w:style w:type="character" w:customStyle="1" w:styleId="22">
    <w:name w:val="标题 3 Char"/>
    <w:basedOn w:val="17"/>
    <w:link w:val="6"/>
    <w:qFormat/>
    <w:uiPriority w:val="0"/>
    <w:rPr>
      <w:rFonts w:ascii="Times New Roman" w:hAnsi="Times New Roman" w:eastAsia="宋体" w:cs="Times New Roman"/>
      <w:b/>
      <w:bCs/>
      <w:sz w:val="32"/>
      <w:szCs w:val="32"/>
    </w:rPr>
  </w:style>
  <w:style w:type="character" w:customStyle="1" w:styleId="23">
    <w:name w:val="批注文字 Char"/>
    <w:basedOn w:val="17"/>
    <w:link w:val="7"/>
    <w:qFormat/>
    <w:uiPriority w:val="0"/>
    <w:rPr>
      <w:rFonts w:ascii="Times New Roman" w:hAnsi="Times New Roman" w:eastAsia="宋体" w:cs="Times New Roman"/>
      <w:szCs w:val="24"/>
    </w:rPr>
  </w:style>
  <w:style w:type="character" w:customStyle="1" w:styleId="24">
    <w:name w:val="日期 Char"/>
    <w:basedOn w:val="17"/>
    <w:link w:val="8"/>
    <w:semiHidden/>
    <w:qFormat/>
    <w:uiPriority w:val="99"/>
    <w:rPr>
      <w:rFonts w:ascii="Times New Roman" w:hAnsi="Times New Roman" w:eastAsia="宋体" w:cs="Times New Roman"/>
      <w:szCs w:val="24"/>
    </w:rPr>
  </w:style>
  <w:style w:type="character" w:customStyle="1" w:styleId="25">
    <w:name w:val="批注框文本 Char"/>
    <w:basedOn w:val="17"/>
    <w:link w:val="9"/>
    <w:semiHidden/>
    <w:qFormat/>
    <w:uiPriority w:val="99"/>
    <w:rPr>
      <w:rFonts w:ascii="Times New Roman" w:hAnsi="Times New Roman" w:eastAsia="宋体" w:cs="Times New Roman"/>
      <w:sz w:val="18"/>
      <w:szCs w:val="18"/>
    </w:rPr>
  </w:style>
  <w:style w:type="character" w:customStyle="1" w:styleId="26">
    <w:name w:val="页脚 Char"/>
    <w:basedOn w:val="17"/>
    <w:link w:val="10"/>
    <w:qFormat/>
    <w:uiPriority w:val="99"/>
    <w:rPr>
      <w:rFonts w:ascii="Times New Roman" w:hAnsi="Times New Roman" w:eastAsia="宋体" w:cs="Times New Roman"/>
      <w:sz w:val="18"/>
      <w:szCs w:val="18"/>
    </w:rPr>
  </w:style>
  <w:style w:type="character" w:customStyle="1" w:styleId="27">
    <w:name w:val="页眉 Char"/>
    <w:basedOn w:val="17"/>
    <w:link w:val="11"/>
    <w:qFormat/>
    <w:uiPriority w:val="99"/>
    <w:rPr>
      <w:rFonts w:ascii="Times New Roman" w:hAnsi="Times New Roman" w:eastAsia="宋体" w:cs="Times New Roman"/>
      <w:sz w:val="18"/>
      <w:szCs w:val="18"/>
    </w:rPr>
  </w:style>
  <w:style w:type="character" w:customStyle="1" w:styleId="28">
    <w:name w:val="标题 Char1"/>
    <w:basedOn w:val="17"/>
    <w:link w:val="13"/>
    <w:qFormat/>
    <w:uiPriority w:val="10"/>
    <w:rPr>
      <w:rFonts w:ascii="Cambria" w:hAnsi="Cambria" w:eastAsia="宋体" w:cs="Times New Roman"/>
      <w:b/>
      <w:bCs/>
      <w:sz w:val="32"/>
      <w:szCs w:val="32"/>
    </w:rPr>
  </w:style>
  <w:style w:type="character" w:customStyle="1" w:styleId="29">
    <w:name w:val="正文首行缩进 Char"/>
    <w:basedOn w:val="20"/>
    <w:link w:val="14"/>
    <w:qFormat/>
    <w:uiPriority w:val="0"/>
  </w:style>
  <w:style w:type="character" w:customStyle="1" w:styleId="30">
    <w:name w:val="标题 Char"/>
    <w:link w:val="13"/>
    <w:qFormat/>
    <w:uiPriority w:val="10"/>
    <w:rPr>
      <w:rFonts w:ascii="Cambria" w:hAnsi="Cambria" w:cs="Times New Roman"/>
      <w:b/>
      <w:bCs/>
      <w:sz w:val="32"/>
      <w:szCs w:val="32"/>
    </w:rPr>
  </w:style>
  <w:style w:type="paragraph" w:customStyle="1" w:styleId="31">
    <w:name w:val="发文正文"/>
    <w:basedOn w:val="1"/>
    <w:qFormat/>
    <w:uiPriority w:val="0"/>
    <w:pPr>
      <w:ind w:firstLine="200" w:firstLineChars="200"/>
    </w:pPr>
    <w:rPr>
      <w:rFonts w:ascii="仿宋_GB2312" w:eastAsia="仿宋_GB2312"/>
      <w:sz w:val="32"/>
      <w:szCs w:val="20"/>
    </w:rPr>
  </w:style>
  <w:style w:type="paragraph" w:customStyle="1" w:styleId="32">
    <w:name w:val="发文2号标题"/>
    <w:basedOn w:val="1"/>
    <w:link w:val="33"/>
    <w:qFormat/>
    <w:uiPriority w:val="0"/>
    <w:pPr>
      <w:spacing w:line="0" w:lineRule="atLeast"/>
      <w:jc w:val="center"/>
    </w:pPr>
    <w:rPr>
      <w:rFonts w:ascii="方正小标宋简体" w:eastAsia="方正小标宋简体"/>
      <w:sz w:val="44"/>
      <w:szCs w:val="20"/>
    </w:rPr>
  </w:style>
  <w:style w:type="character" w:customStyle="1" w:styleId="33">
    <w:name w:val="发文2号标题 Char"/>
    <w:basedOn w:val="17"/>
    <w:link w:val="32"/>
    <w:qFormat/>
    <w:uiPriority w:val="0"/>
    <w:rPr>
      <w:rFonts w:ascii="方正小标宋简体" w:hAnsi="Times New Roman" w:eastAsia="方正小标宋简体" w:cs="Times New Roman"/>
      <w:sz w:val="44"/>
      <w:szCs w:val="20"/>
    </w:rPr>
  </w:style>
  <w:style w:type="paragraph" w:styleId="34">
    <w:name w:val="List Paragraph"/>
    <w:basedOn w:val="1"/>
    <w:qFormat/>
    <w:uiPriority w:val="34"/>
    <w:pPr>
      <w:ind w:firstLine="420" w:firstLineChars="200"/>
    </w:pPr>
    <w:rPr>
      <w:szCs w:val="20"/>
    </w:rPr>
  </w:style>
  <w:style w:type="paragraph" w:customStyle="1" w:styleId="35">
    <w:name w:val="样式2"/>
    <w:basedOn w:val="1"/>
    <w:qFormat/>
    <w:uiPriority w:val="0"/>
    <w:pPr>
      <w:spacing w:line="540" w:lineRule="exact"/>
      <w:ind w:firstLine="624" w:firstLineChars="200"/>
    </w:pPr>
    <w:rPr>
      <w:rFonts w:ascii="Calibri" w:hAnsi="Calibri" w:eastAsia="仿宋_GB2312"/>
      <w:sz w:val="32"/>
      <w:szCs w:val="22"/>
    </w:rPr>
  </w:style>
  <w:style w:type="paragraph" w:customStyle="1" w:styleId="36">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kern w:val="0"/>
      <w:sz w:val="20"/>
      <w:szCs w:val="20"/>
      <w:lang w:val="en-US" w:eastAsia="zh-CN" w:bidi="ar-SA"/>
    </w:rPr>
  </w:style>
  <w:style w:type="paragraph" w:customStyle="1" w:styleId="37">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kern w:val="0"/>
      <w:sz w:val="24"/>
      <w:szCs w:val="24"/>
      <w:lang w:val="en-US" w:eastAsia="zh-CN" w:bidi="ar-SA"/>
    </w:rPr>
  </w:style>
  <w:style w:type="paragraph" w:customStyle="1" w:styleId="38">
    <w:name w:val="正文 A A"/>
    <w:qFormat/>
    <w:uiPriority w:val="0"/>
    <w:pPr>
      <w:widowControl w:val="0"/>
      <w:jc w:val="both"/>
    </w:pPr>
    <w:rPr>
      <w:rFonts w:ascii="Calibri" w:hAnsi="Calibri" w:eastAsia="Calibri" w:cs="Calibri"/>
      <w:color w:val="000000"/>
      <w:kern w:val="2"/>
      <w:sz w:val="21"/>
      <w:szCs w:val="21"/>
      <w:lang w:val="en-US" w:eastAsia="zh-CN" w:bidi="ar-SA"/>
    </w:rPr>
  </w:style>
  <w:style w:type="character" w:customStyle="1" w:styleId="39">
    <w:name w:val="NormalCharacter"/>
    <w:semiHidden/>
    <w:qFormat/>
    <w:uiPriority w:val="0"/>
  </w:style>
  <w:style w:type="table" w:customStyle="1" w:styleId="40">
    <w:name w:val="TableNormal"/>
    <w:semiHidden/>
    <w:qFormat/>
    <w:uiPriority w:val="0"/>
    <w:rPr>
      <w:rFonts w:ascii="Calibri" w:hAnsi="Calibri" w:eastAsia="宋体" w:cs="Times New Roman"/>
      <w:kern w:val="0"/>
      <w:sz w:val="20"/>
      <w:szCs w:val="20"/>
    </w:rPr>
    <w:tblPr>
      <w:tblStyle w:val="15"/>
      <w:tblCellMar>
        <w:top w:w="0" w:type="dxa"/>
        <w:left w:w="0" w:type="dxa"/>
        <w:bottom w:w="0" w:type="dxa"/>
        <w:right w:w="0" w:type="dxa"/>
      </w:tblCellMar>
    </w:tblPr>
  </w:style>
  <w:style w:type="paragraph" w:customStyle="1" w:styleId="41">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42">
    <w:name w:val="标题 21"/>
    <w:basedOn w:val="1"/>
    <w:qFormat/>
    <w:uiPriority w:val="0"/>
    <w:pPr>
      <w:keepNext/>
      <w:keepLines/>
      <w:spacing w:before="120" w:after="120"/>
      <w:outlineLvl w:val="1"/>
    </w:pPr>
    <w:rPr>
      <w:rFonts w:ascii="等线 Light" w:hAnsi="等线 Light" w:eastAsia="等线 Light"/>
      <w:b/>
      <w:bCs/>
      <w:sz w:val="24"/>
      <w:szCs w:val="32"/>
    </w:rPr>
  </w:style>
  <w:style w:type="paragraph" w:customStyle="1" w:styleId="43">
    <w:name w:val="普通(网站)1"/>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8</Pages>
  <Words>2565</Words>
  <Characters>2667</Characters>
  <Lines>19</Lines>
  <Paragraphs>5</Paragraphs>
  <TotalTime>5.66666666666667</TotalTime>
  <ScaleCrop>false</ScaleCrop>
  <LinksUpToDate>false</LinksUpToDate>
  <CharactersWithSpaces>2673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2019-01-16T14:54:00Z</dcterms:created>
  <dc:creator>user</dc:creator>
  <cp:lastModifiedBy>文印室</cp:lastModifiedBy>
  <cp:lastPrinted>2018-11-06T10:47:00Z</cp:lastPrinted>
  <dcterms:modified xsi:type="dcterms:W3CDTF">2025-05-14T10:56:39Z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C3C69DF0A1B24C2497D484E1167C756B_13</vt:lpwstr>
  </property>
  <property fmtid="{D5CDD505-2E9C-101B-9397-08002B2CF9AE}" pid="4" name="KSOTemplateDocerSaveRecord">
    <vt:lpwstr>eyJoZGlkIjoiMGY4YTkxMTJjMjkxYzMzZmM0MGNiMjIxZTBlNGNhOGMiLCJ1c2VySWQiOiI1OTIyMjAxNDIifQ==</vt:lpwstr>
  </property>
</Properties>
</file>