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9"/>
        <w:rPr>
          <w:rFonts w:hint="eastAsia" w:ascii="黑体" w:hAnsi="黑体" w:eastAsia="黑体" w:cs="黑体"/>
          <w:sz w:val="32"/>
          <w:szCs w:val="32"/>
          <w:lang w:eastAsia="zh-CN"/>
        </w:rPr>
      </w:pPr>
      <w:bookmarkStart w:id="0" w:name="_Toc100911454"/>
      <w:bookmarkStart w:id="1" w:name="_Toc7280"/>
      <w:bookmarkStart w:id="2" w:name="_Toc100911811"/>
      <w:bookmarkStart w:id="3" w:name="_Toc28886"/>
      <w:r>
        <w:rPr>
          <w:rFonts w:hint="eastAsia" w:ascii="黑体" w:hAnsi="黑体" w:eastAsia="黑体" w:cs="黑体"/>
          <w:sz w:val="32"/>
          <w:szCs w:val="32"/>
          <w:lang w:eastAsia="zh-CN"/>
        </w:rPr>
        <w:t>附件３</w:t>
      </w:r>
      <w:bookmarkStart w:id="26" w:name="_GoBack"/>
      <w:bookmarkEnd w:id="26"/>
    </w:p>
    <w:p>
      <w:pPr>
        <w:jc w:val="center"/>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上海市</w:t>
      </w:r>
      <w:r>
        <w:rPr>
          <w:rFonts w:hint="eastAsia" w:ascii="方正小标宋简体" w:hAnsi="方正小标宋简体" w:eastAsia="方正小标宋简体" w:cs="方正小标宋简体"/>
          <w:sz w:val="36"/>
          <w:szCs w:val="36"/>
          <w:lang w:val="en-US" w:eastAsia="zh-CN"/>
        </w:rPr>
        <w:t>2023年度</w:t>
      </w:r>
      <w:r>
        <w:rPr>
          <w:rFonts w:hint="eastAsia" w:ascii="方正小标宋简体" w:hAnsi="方正小标宋简体" w:eastAsia="方正小标宋简体" w:cs="方正小标宋简体"/>
          <w:sz w:val="36"/>
          <w:szCs w:val="36"/>
        </w:rPr>
        <w:t>农业保险保费补贴</w:t>
      </w:r>
      <w:r>
        <w:rPr>
          <w:rFonts w:hint="eastAsia" w:ascii="方正小标宋简体" w:hAnsi="方正小标宋简体" w:eastAsia="方正小标宋简体" w:cs="方正小标宋简体"/>
          <w:sz w:val="36"/>
          <w:szCs w:val="36"/>
          <w:lang w:val="en-US" w:eastAsia="zh-CN"/>
        </w:rPr>
        <w:t>资金</w:t>
      </w:r>
      <w:r>
        <w:rPr>
          <w:rFonts w:hint="eastAsia" w:ascii="方正小标宋简体" w:hAnsi="方正小标宋简体" w:eastAsia="方正小标宋简体" w:cs="方正小标宋简体"/>
          <w:sz w:val="36"/>
          <w:szCs w:val="36"/>
        </w:rPr>
        <w:t>转移支付</w:t>
      </w:r>
      <w:bookmarkEnd w:id="0"/>
      <w:bookmarkEnd w:id="1"/>
      <w:bookmarkEnd w:id="2"/>
      <w:bookmarkEnd w:id="3"/>
      <w:bookmarkStart w:id="4" w:name="_Toc3202"/>
      <w:bookmarkStart w:id="5" w:name="_Toc100911455"/>
      <w:bookmarkStart w:id="6" w:name="_Toc3016"/>
      <w:bookmarkStart w:id="7" w:name="_Toc100911812"/>
    </w:p>
    <w:p>
      <w:pPr>
        <w:jc w:val="center"/>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绩效自评报告</w:t>
      </w:r>
      <w:bookmarkEnd w:id="4"/>
      <w:bookmarkEnd w:id="5"/>
      <w:bookmarkEnd w:id="6"/>
      <w:bookmarkEnd w:id="7"/>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default" w:ascii="Times New Roman" w:hAnsi="Times New Roman" w:eastAsia="宋体" w:cs="Times New Roman"/>
          <w:b/>
          <w:bCs/>
          <w:sz w:val="36"/>
          <w:szCs w:val="36"/>
        </w:rPr>
      </w:pPr>
    </w:p>
    <w:p>
      <w:pPr>
        <w:spacing w:line="600" w:lineRule="exact"/>
        <w:ind w:firstLine="640" w:firstLineChars="200"/>
        <w:outlineLvl w:val="0"/>
        <w:rPr>
          <w:rFonts w:hint="default" w:ascii="Times New Roman" w:hAnsi="Times New Roman" w:eastAsia="黑体" w:cs="Times New Roman"/>
          <w:b/>
          <w:bCs/>
          <w:sz w:val="32"/>
          <w:szCs w:val="32"/>
        </w:rPr>
      </w:pPr>
      <w:bookmarkStart w:id="8" w:name="_Toc100911813"/>
      <w:r>
        <w:rPr>
          <w:rFonts w:hint="default" w:ascii="Times New Roman" w:hAnsi="Times New Roman" w:eastAsia="黑体" w:cs="Times New Roman"/>
          <w:b/>
          <w:bCs/>
          <w:sz w:val="32"/>
          <w:szCs w:val="32"/>
        </w:rPr>
        <w:t>一、绩效目标分解下达情况</w:t>
      </w:r>
      <w:bookmarkEnd w:id="8"/>
    </w:p>
    <w:p>
      <w:pPr>
        <w:spacing w:line="600" w:lineRule="exact"/>
        <w:ind w:firstLine="640" w:firstLineChars="200"/>
        <w:outlineLvl w:val="1"/>
        <w:rPr>
          <w:rFonts w:hint="eastAsia" w:ascii="楷体_GB2312" w:hAnsi="楷体_GB2312" w:eastAsia="楷体_GB2312" w:cs="楷体_GB2312"/>
          <w:b/>
          <w:bCs/>
          <w:sz w:val="32"/>
          <w:szCs w:val="32"/>
        </w:rPr>
      </w:pPr>
      <w:bookmarkStart w:id="9" w:name="_Toc100911814"/>
      <w:r>
        <w:rPr>
          <w:rFonts w:hint="default" w:ascii="Times New Roman" w:hAnsi="Times New Roman" w:eastAsia="楷体_GB2312" w:cs="Times New Roman"/>
          <w:b/>
          <w:bCs/>
          <w:sz w:val="32"/>
          <w:szCs w:val="32"/>
        </w:rPr>
        <w:t>（一）</w:t>
      </w:r>
      <w:r>
        <w:rPr>
          <w:rFonts w:hint="eastAsia" w:ascii="楷体_GB2312" w:hAnsi="楷体_GB2312" w:eastAsia="楷体_GB2312" w:cs="楷体_GB2312"/>
          <w:b/>
          <w:bCs/>
          <w:sz w:val="32"/>
          <w:szCs w:val="32"/>
        </w:rPr>
        <w:t>中央下达202</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年农业保险</w:t>
      </w:r>
      <w:r>
        <w:rPr>
          <w:rFonts w:hint="eastAsia" w:ascii="楷体_GB2312" w:hAnsi="楷体_GB2312" w:eastAsia="楷体_GB2312" w:cs="楷体_GB2312"/>
          <w:b/>
          <w:bCs/>
          <w:sz w:val="32"/>
          <w:szCs w:val="32"/>
          <w:lang w:eastAsia="zh-CN"/>
        </w:rPr>
        <w:t>保费</w:t>
      </w:r>
      <w:r>
        <w:rPr>
          <w:rFonts w:hint="eastAsia" w:ascii="楷体_GB2312" w:hAnsi="楷体_GB2312" w:eastAsia="楷体_GB2312" w:cs="楷体_GB2312"/>
          <w:b/>
          <w:bCs/>
          <w:sz w:val="32"/>
          <w:szCs w:val="32"/>
        </w:rPr>
        <w:t>补贴</w:t>
      </w:r>
      <w:r>
        <w:rPr>
          <w:rFonts w:hint="eastAsia" w:ascii="楷体_GB2312" w:hAnsi="楷体_GB2312" w:eastAsia="楷体_GB2312" w:cs="楷体_GB2312"/>
          <w:b/>
          <w:bCs/>
          <w:sz w:val="32"/>
          <w:szCs w:val="32"/>
          <w:lang w:val="en-US" w:eastAsia="zh-CN"/>
        </w:rPr>
        <w:t>资金</w:t>
      </w:r>
      <w:r>
        <w:rPr>
          <w:rFonts w:hint="eastAsia" w:ascii="楷体_GB2312" w:hAnsi="楷体_GB2312" w:eastAsia="楷体_GB2312" w:cs="楷体_GB2312"/>
          <w:b/>
          <w:bCs/>
          <w:sz w:val="32"/>
          <w:szCs w:val="32"/>
        </w:rPr>
        <w:t>转移支付预算情况</w:t>
      </w:r>
      <w:bookmarkEnd w:id="9"/>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为促进农业保险持续健康发展，完善农村金融服务体系，国家支持在全国范围内建立农业保险制度，根据《财政部关于印发</w:t>
      </w:r>
    </w:p>
    <w:p>
      <w:pPr>
        <w:spacing w:line="600" w:lineRule="exact"/>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中央财政农业保险保费补贴管理办法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的通知》（财金〔20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highlight w:val="none"/>
        </w:rPr>
        <w:t>）、《财政部关于提前下达中央财政农业保险保费补贴2023年预算指标的通知》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财金〔2022〕112号</w:t>
      </w:r>
      <w:r>
        <w:rPr>
          <w:rFonts w:hint="eastAsia" w:ascii="仿宋_GB2312" w:hAnsi="仿宋_GB2312" w:eastAsia="仿宋_GB2312" w:cs="仿宋_GB2312"/>
          <w:sz w:val="32"/>
          <w:szCs w:val="32"/>
          <w:highlight w:val="none"/>
          <w:lang w:eastAsia="zh-CN"/>
        </w:rPr>
        <w:t>）、《财政部关于结算2021中央财政农业保险保费补贴资金和下达2022年第二笔中央财政农业保险保险费补贴预算的通知》（财金〔2022〕132号）、</w:t>
      </w:r>
      <w:r>
        <w:rPr>
          <w:rFonts w:hint="eastAsia" w:ascii="仿宋_GB2312" w:hAnsi="仿宋_GB2312" w:eastAsia="仿宋_GB2312" w:cs="仿宋_GB2312"/>
          <w:sz w:val="32"/>
          <w:szCs w:val="32"/>
          <w:highlight w:val="none"/>
        </w:rPr>
        <w:t>《财政部关于结算202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年度中央财政农业保险保费补贴资金和下达202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年第二笔中央财政农业保险保费补贴预算的通知》（财金〔202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号）的有关要求，中华人民共和国财政部下达“上海市202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年度中央财政农业保险保费补贴”专项转移支付资金</w:t>
      </w:r>
      <w:r>
        <w:rPr>
          <w:rFonts w:hint="eastAsia" w:ascii="仿宋_GB2312" w:hAnsi="仿宋_GB2312" w:eastAsia="仿宋_GB2312" w:cs="仿宋_GB2312"/>
          <w:sz w:val="32"/>
          <w:szCs w:val="32"/>
          <w:highlight w:val="none"/>
          <w:lang w:val="en-US" w:eastAsia="zh-CN"/>
        </w:rPr>
        <w:t>14,468.93</w:t>
      </w:r>
      <w:r>
        <w:rPr>
          <w:rFonts w:hint="eastAsia" w:ascii="仿宋_GB2312" w:hAnsi="仿宋_GB2312" w:eastAsia="仿宋_GB2312" w:cs="仿宋_GB2312"/>
          <w:sz w:val="32"/>
          <w:szCs w:val="32"/>
          <w:highlight w:val="none"/>
        </w:rPr>
        <w:t>万元至上海市，用于促进农业保险持续健康发展，完善农村金融服务体系，支持建立农业保险制度；加强中央财政农业保险保费补贴资金管理，更好地服务“三农”，中央资金转移支付情况见下表。</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spacing w:line="600" w:lineRule="exact"/>
        <w:jc w:val="center"/>
        <w:outlineLvl w:val="9"/>
        <w:rPr>
          <w:rFonts w:hint="default" w:ascii="楷体_GB2312" w:hAnsi="楷体_GB2312" w:eastAsia="楷体_GB2312" w:cs="楷体_GB2312"/>
          <w:b/>
          <w:bCs w:val="0"/>
          <w:sz w:val="32"/>
          <w:szCs w:val="32"/>
        </w:rPr>
      </w:pPr>
      <w:r>
        <w:rPr>
          <w:rFonts w:hint="default" w:ascii="楷体_GB2312" w:hAnsi="楷体_GB2312" w:eastAsia="楷体_GB2312" w:cs="楷体_GB2312"/>
          <w:b/>
          <w:bCs w:val="0"/>
          <w:sz w:val="32"/>
          <w:szCs w:val="32"/>
        </w:rPr>
        <w:t>表1:202</w:t>
      </w:r>
      <w:r>
        <w:rPr>
          <w:rFonts w:hint="default" w:ascii="楷体_GB2312" w:hAnsi="楷体_GB2312" w:eastAsia="楷体_GB2312" w:cs="楷体_GB2312"/>
          <w:b/>
          <w:bCs w:val="0"/>
          <w:sz w:val="32"/>
          <w:szCs w:val="32"/>
          <w:lang w:val="en-US" w:eastAsia="zh-CN"/>
        </w:rPr>
        <w:t>3</w:t>
      </w:r>
      <w:r>
        <w:rPr>
          <w:rFonts w:hint="default" w:ascii="楷体_GB2312" w:hAnsi="楷体_GB2312" w:eastAsia="楷体_GB2312" w:cs="楷体_GB2312"/>
          <w:b/>
          <w:bCs w:val="0"/>
          <w:sz w:val="32"/>
          <w:szCs w:val="32"/>
        </w:rPr>
        <w:t>年中央财政农业保险保费补贴经费预算表</w:t>
      </w:r>
    </w:p>
    <w:p>
      <w:pPr>
        <w:spacing w:line="240" w:lineRule="atLeast"/>
        <w:jc w:val="right"/>
        <w:outlineLvl w:val="9"/>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单位：万元</w:t>
      </w:r>
    </w:p>
    <w:tbl>
      <w:tblPr>
        <w:tblStyle w:val="11"/>
        <w:tblW w:w="9238" w:type="dxa"/>
        <w:tblInd w:w="0" w:type="dxa"/>
        <w:tblLayout w:type="fixed"/>
        <w:tblCellMar>
          <w:top w:w="0" w:type="dxa"/>
          <w:left w:w="108" w:type="dxa"/>
          <w:bottom w:w="0" w:type="dxa"/>
          <w:right w:w="108" w:type="dxa"/>
        </w:tblCellMar>
      </w:tblPr>
      <w:tblGrid>
        <w:gridCol w:w="2118"/>
        <w:gridCol w:w="2501"/>
        <w:gridCol w:w="2116"/>
        <w:gridCol w:w="2503"/>
      </w:tblGrid>
      <w:tr>
        <w:tblPrEx>
          <w:tblCellMar>
            <w:top w:w="0" w:type="dxa"/>
            <w:left w:w="108" w:type="dxa"/>
            <w:bottom w:w="0" w:type="dxa"/>
            <w:right w:w="108" w:type="dxa"/>
          </w:tblCellMar>
        </w:tblPrEx>
        <w:trPr>
          <w:trHeight w:val="90" w:hRule="atLeast"/>
        </w:trPr>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地区</w:t>
            </w:r>
          </w:p>
        </w:tc>
        <w:tc>
          <w:tcPr>
            <w:tcW w:w="2501"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highlight w:val="yellow"/>
                <w:lang w:eastAsia="zh-CN"/>
              </w:rPr>
              <w:t>上年度指标</w:t>
            </w:r>
          </w:p>
        </w:tc>
        <w:tc>
          <w:tcPr>
            <w:tcW w:w="2116"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highlight w:val="yellow"/>
                <w:lang w:eastAsia="zh-CN"/>
              </w:rPr>
              <w:t>当年度</w:t>
            </w:r>
            <w:r>
              <w:rPr>
                <w:rFonts w:hint="eastAsia" w:ascii="仿宋_GB2312" w:hAnsi="仿宋_GB2312" w:eastAsia="仿宋_GB2312" w:cs="仿宋_GB2312"/>
                <w:b/>
                <w:bCs/>
                <w:color w:val="000000"/>
                <w:kern w:val="0"/>
                <w:sz w:val="24"/>
                <w:szCs w:val="24"/>
                <w:highlight w:val="yellow"/>
              </w:rPr>
              <w:t>下达</w:t>
            </w:r>
          </w:p>
        </w:tc>
        <w:tc>
          <w:tcPr>
            <w:tcW w:w="250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合计</w:t>
            </w:r>
          </w:p>
        </w:tc>
      </w:tr>
      <w:tr>
        <w:tblPrEx>
          <w:tblCellMar>
            <w:top w:w="0" w:type="dxa"/>
            <w:left w:w="108" w:type="dxa"/>
            <w:bottom w:w="0" w:type="dxa"/>
            <w:right w:w="108" w:type="dxa"/>
          </w:tblCellMar>
        </w:tblPrEx>
        <w:trPr>
          <w:trHeight w:val="383" w:hRule="atLeast"/>
        </w:trPr>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5,366.93</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9,102</w:t>
            </w:r>
          </w:p>
        </w:tc>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14,468.93</w:t>
            </w:r>
          </w:p>
        </w:tc>
      </w:tr>
    </w:tbl>
    <w:p>
      <w:pPr>
        <w:spacing w:line="600" w:lineRule="exact"/>
        <w:ind w:firstLine="640" w:firstLineChars="200"/>
        <w:outlineLvl w:val="1"/>
        <w:rPr>
          <w:rFonts w:hint="default" w:ascii="Times New Roman" w:hAnsi="Times New Roman" w:eastAsia="楷体_GB2312" w:cs="Times New Roman"/>
          <w:b/>
          <w:bCs/>
          <w:sz w:val="32"/>
          <w:szCs w:val="32"/>
        </w:rPr>
      </w:pPr>
      <w:bookmarkStart w:id="10" w:name="_Toc100911816"/>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）上海市分解下达预算和区域绩效目标情况</w:t>
      </w:r>
      <w:bookmarkEnd w:id="10"/>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市农业农村委</w:t>
      </w:r>
      <w:r>
        <w:rPr>
          <w:rFonts w:hint="eastAsia" w:ascii="仿宋_GB2312" w:hAnsi="仿宋_GB2312" w:eastAsia="仿宋_GB2312" w:cs="仿宋_GB2312"/>
          <w:sz w:val="32"/>
          <w:szCs w:val="32"/>
        </w:rPr>
        <w:t>会同市财政局结合本市实际情况，制定了上海市202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年度中央财政农业保险</w:t>
      </w:r>
      <w:r>
        <w:rPr>
          <w:rFonts w:hint="eastAsia" w:ascii="仿宋_GB2312" w:hAnsi="仿宋_GB2312" w:eastAsia="仿宋_GB2312" w:cs="仿宋_GB2312"/>
          <w:sz w:val="32"/>
          <w:szCs w:val="32"/>
          <w:lang w:eastAsia="zh-CN"/>
        </w:rPr>
        <w:t>保费</w:t>
      </w:r>
      <w:r>
        <w:rPr>
          <w:rFonts w:hint="eastAsia" w:ascii="仿宋_GB2312" w:hAnsi="仿宋_GB2312" w:eastAsia="仿宋_GB2312" w:cs="仿宋_GB2312"/>
          <w:sz w:val="32"/>
          <w:szCs w:val="32"/>
        </w:rPr>
        <w:t>补贴资金项目资金分配、实施方案以及绩效目标，具体情况如下：</w:t>
      </w:r>
    </w:p>
    <w:p>
      <w:pPr>
        <w:spacing w:line="600" w:lineRule="exact"/>
        <w:ind w:firstLine="640" w:firstLineChars="200"/>
        <w:outlineLvl w:val="9"/>
        <w:rPr>
          <w:rFonts w:hint="eastAsia" w:ascii="仿宋_GB2312" w:hAnsi="仿宋_GB2312" w:eastAsia="仿宋_GB2312" w:cs="仿宋_GB2312"/>
          <w:b/>
          <w:bCs/>
          <w:sz w:val="32"/>
          <w:szCs w:val="32"/>
        </w:rPr>
      </w:pPr>
      <w:bookmarkStart w:id="11" w:name="_Toc100911817"/>
      <w:r>
        <w:rPr>
          <w:rFonts w:hint="eastAsia" w:ascii="仿宋_GB2312" w:hAnsi="仿宋_GB2312" w:eastAsia="仿宋_GB2312" w:cs="仿宋_GB2312"/>
          <w:b/>
          <w:bCs/>
          <w:sz w:val="32"/>
          <w:szCs w:val="32"/>
        </w:rPr>
        <w:t>1.资金分配预算及实施方案</w:t>
      </w:r>
      <w:bookmarkEnd w:id="11"/>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年农业保险保费补贴项目中央财政预算资金</w:t>
      </w:r>
      <w:r>
        <w:rPr>
          <w:rFonts w:hint="eastAsia" w:ascii="仿宋_GB2312" w:hAnsi="仿宋_GB2312" w:eastAsia="仿宋_GB2312" w:cs="仿宋_GB2312"/>
          <w:sz w:val="32"/>
          <w:szCs w:val="32"/>
          <w:highlight w:val="none"/>
          <w:lang w:val="en-US" w:eastAsia="zh-CN"/>
        </w:rPr>
        <w:t>14,468.93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具体预算及分配情况见下表。</w:t>
      </w:r>
    </w:p>
    <w:p>
      <w:pPr>
        <w:spacing w:line="600" w:lineRule="exact"/>
        <w:jc w:val="center"/>
        <w:outlineLvl w:val="9"/>
        <w:rPr>
          <w:rFonts w:hint="default" w:ascii="Times New Roman" w:hAnsi="Times New Roman" w:eastAsia="仿宋_GB2312" w:cs="Times New Roman"/>
          <w:b/>
          <w:bCs w:val="0"/>
          <w:sz w:val="28"/>
          <w:szCs w:val="28"/>
        </w:rPr>
      </w:pPr>
      <w:r>
        <w:rPr>
          <w:rFonts w:hint="eastAsia" w:ascii="楷体_GB2312" w:hAnsi="楷体_GB2312" w:eastAsia="楷体_GB2312" w:cs="楷体_GB2312"/>
          <w:b/>
          <w:bCs w:val="0"/>
          <w:sz w:val="32"/>
          <w:szCs w:val="32"/>
        </w:rPr>
        <w:t>表</w:t>
      </w:r>
      <w:r>
        <w:rPr>
          <w:rFonts w:hint="eastAsia" w:ascii="楷体_GB2312" w:hAnsi="楷体_GB2312" w:eastAsia="楷体_GB2312" w:cs="楷体_GB2312"/>
          <w:b/>
          <w:bCs w:val="0"/>
          <w:sz w:val="32"/>
          <w:szCs w:val="32"/>
          <w:lang w:val="en-US" w:eastAsia="zh-CN"/>
        </w:rPr>
        <w:t>2</w:t>
      </w:r>
      <w:r>
        <w:rPr>
          <w:rFonts w:hint="eastAsia" w:ascii="楷体_GB2312" w:hAnsi="楷体_GB2312" w:eastAsia="楷体_GB2312" w:cs="楷体_GB2312"/>
          <w:b/>
          <w:bCs w:val="0"/>
          <w:sz w:val="32"/>
          <w:szCs w:val="32"/>
        </w:rPr>
        <w:t>：上海市202</w:t>
      </w:r>
      <w:r>
        <w:rPr>
          <w:rFonts w:hint="eastAsia" w:ascii="楷体_GB2312" w:hAnsi="楷体_GB2312" w:eastAsia="楷体_GB2312" w:cs="楷体_GB2312"/>
          <w:b/>
          <w:bCs w:val="0"/>
          <w:sz w:val="32"/>
          <w:szCs w:val="32"/>
          <w:lang w:val="en-US" w:eastAsia="zh-CN"/>
        </w:rPr>
        <w:t>3</w:t>
      </w:r>
      <w:r>
        <w:rPr>
          <w:rFonts w:hint="eastAsia" w:ascii="楷体_GB2312" w:hAnsi="楷体_GB2312" w:eastAsia="楷体_GB2312" w:cs="楷体_GB2312"/>
          <w:b/>
          <w:bCs w:val="0"/>
          <w:sz w:val="32"/>
          <w:szCs w:val="32"/>
        </w:rPr>
        <w:t>年度农业保险保费补贴项目资金分配表</w:t>
      </w:r>
    </w:p>
    <w:p>
      <w:pPr>
        <w:spacing w:line="240" w:lineRule="atLeast"/>
        <w:jc w:val="right"/>
        <w:outlineLvl w:val="9"/>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单位：万元</w:t>
      </w:r>
    </w:p>
    <w:tbl>
      <w:tblPr>
        <w:tblStyle w:val="11"/>
        <w:tblW w:w="9240" w:type="dxa"/>
        <w:tblInd w:w="0" w:type="dxa"/>
        <w:tblLayout w:type="fixed"/>
        <w:tblCellMar>
          <w:top w:w="0" w:type="dxa"/>
          <w:left w:w="108" w:type="dxa"/>
          <w:bottom w:w="0" w:type="dxa"/>
          <w:right w:w="108" w:type="dxa"/>
        </w:tblCellMar>
      </w:tblPr>
      <w:tblGrid>
        <w:gridCol w:w="3758"/>
        <w:gridCol w:w="2739"/>
        <w:gridCol w:w="2743"/>
      </w:tblGrid>
      <w:tr>
        <w:tblPrEx>
          <w:tblCellMar>
            <w:top w:w="0" w:type="dxa"/>
            <w:left w:w="108" w:type="dxa"/>
            <w:bottom w:w="0" w:type="dxa"/>
            <w:right w:w="108" w:type="dxa"/>
          </w:tblCellMar>
        </w:tblPrEx>
        <w:trPr>
          <w:trHeight w:val="337" w:hRule="atLeast"/>
          <w:tblHeader/>
        </w:trPr>
        <w:tc>
          <w:tcPr>
            <w:tcW w:w="3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区/单位</w:t>
            </w:r>
          </w:p>
        </w:tc>
        <w:tc>
          <w:tcPr>
            <w:tcW w:w="5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中央财政资金</w:t>
            </w:r>
          </w:p>
        </w:tc>
      </w:tr>
      <w:tr>
        <w:tblPrEx>
          <w:tblCellMar>
            <w:top w:w="0" w:type="dxa"/>
            <w:left w:w="108" w:type="dxa"/>
            <w:bottom w:w="0" w:type="dxa"/>
            <w:right w:w="108" w:type="dxa"/>
          </w:tblCellMar>
        </w:tblPrEx>
        <w:trPr>
          <w:trHeight w:val="337" w:hRule="atLeast"/>
        </w:trPr>
        <w:tc>
          <w:tcPr>
            <w:tcW w:w="3758"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left"/>
              <w:outlineLvl w:val="9"/>
              <w:rPr>
                <w:rFonts w:hint="eastAsia" w:ascii="仿宋_GB2312" w:hAnsi="仿宋_GB2312" w:eastAsia="仿宋_GB2312" w:cs="仿宋_GB2312"/>
                <w:b/>
                <w:bCs/>
                <w:color w:val="000000"/>
                <w:kern w:val="0"/>
                <w:sz w:val="24"/>
                <w:szCs w:val="24"/>
              </w:rPr>
            </w:pP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预算资金</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实际拨付</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bookmarkStart w:id="12" w:name="OLE_LINK1" w:colFirst="0" w:colLast="0"/>
            <w:r>
              <w:rPr>
                <w:rFonts w:hint="eastAsia" w:ascii="仿宋_GB2312" w:hAnsi="仿宋_GB2312" w:eastAsia="仿宋_GB2312" w:cs="仿宋_GB2312"/>
                <w:color w:val="000000"/>
                <w:kern w:val="0"/>
                <w:sz w:val="24"/>
                <w:szCs w:val="24"/>
                <w:lang w:bidi="ar"/>
              </w:rPr>
              <w:t>宝山区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闵行区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嘉定区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浦东新区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金山区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松江区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1,008</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青浦区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奉贤区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崇明区</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1,693.93</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光明食品集团</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5,700</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lang w:val="en-US" w:eastAsia="zh-CN"/>
              </w:rPr>
            </w:pPr>
            <w:bookmarkStart w:id="13" w:name="OLE_LINK7" w:colFirst="2" w:colLast="3"/>
            <w:r>
              <w:rPr>
                <w:rFonts w:hint="eastAsia" w:ascii="仿宋_GB2312" w:hAnsi="仿宋_GB2312" w:eastAsia="仿宋_GB2312" w:cs="仿宋_GB2312"/>
                <w:color w:val="000000"/>
                <w:kern w:val="0"/>
                <w:sz w:val="24"/>
                <w:szCs w:val="24"/>
                <w:lang w:val="en-US" w:eastAsia="zh-CN"/>
              </w:rPr>
              <w:t>地产农投</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w:t>
            </w:r>
          </w:p>
        </w:tc>
      </w:tr>
      <w:tr>
        <w:tblPrEx>
          <w:tblCellMar>
            <w:top w:w="0" w:type="dxa"/>
            <w:left w:w="108" w:type="dxa"/>
            <w:bottom w:w="0" w:type="dxa"/>
            <w:right w:w="108" w:type="dxa"/>
          </w:tblCellMar>
        </w:tblPrEx>
        <w:trPr>
          <w:trHeight w:val="337"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上实农业</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r>
      <w:bookmarkEnd w:id="12"/>
      <w:tr>
        <w:tblPrEx>
          <w:tblCellMar>
            <w:top w:w="0" w:type="dxa"/>
            <w:left w:w="108" w:type="dxa"/>
            <w:bottom w:w="0" w:type="dxa"/>
            <w:right w:w="108" w:type="dxa"/>
          </w:tblCellMar>
        </w:tblPrEx>
        <w:trPr>
          <w:trHeight w:val="421" w:hRule="atLeast"/>
        </w:trPr>
        <w:tc>
          <w:tcPr>
            <w:tcW w:w="37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bidi="ar"/>
              </w:rPr>
              <w:t>合计</w:t>
            </w:r>
          </w:p>
        </w:tc>
        <w:tc>
          <w:tcPr>
            <w:tcW w:w="2739"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14,468.93</w:t>
            </w:r>
          </w:p>
        </w:tc>
        <w:tc>
          <w:tcPr>
            <w:tcW w:w="2743" w:type="dxa"/>
            <w:tcBorders>
              <w:top w:val="nil"/>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14,468.93</w:t>
            </w:r>
          </w:p>
        </w:tc>
      </w:tr>
      <w:bookmarkEnd w:id="13"/>
    </w:tbl>
    <w:p>
      <w:pPr>
        <w:spacing w:line="600" w:lineRule="exact"/>
        <w:ind w:firstLine="640" w:firstLineChars="200"/>
        <w:outlineLvl w:val="9"/>
        <w:rPr>
          <w:rFonts w:hint="eastAsia" w:ascii="仿宋_GB2312" w:hAnsi="仿宋_GB2312" w:eastAsia="仿宋_GB2312" w:cs="仿宋_GB2312"/>
          <w:b/>
          <w:bCs/>
          <w:sz w:val="32"/>
          <w:szCs w:val="32"/>
        </w:rPr>
      </w:pPr>
      <w:bookmarkStart w:id="14" w:name="_Toc2698"/>
      <w:bookmarkStart w:id="15" w:name="_Toc100911818"/>
      <w:r>
        <w:rPr>
          <w:rFonts w:hint="eastAsia" w:ascii="仿宋_GB2312" w:hAnsi="仿宋_GB2312" w:eastAsia="仿宋_GB2312" w:cs="仿宋_GB2312"/>
          <w:b/>
          <w:bCs/>
          <w:sz w:val="32"/>
          <w:szCs w:val="32"/>
        </w:rPr>
        <w:t>2.绩效目标情况</w:t>
      </w:r>
      <w:bookmarkEnd w:id="14"/>
      <w:bookmarkEnd w:id="15"/>
    </w:p>
    <w:p>
      <w:pPr>
        <w:spacing w:line="600" w:lineRule="exact"/>
        <w:ind w:firstLine="640"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（1）项目总体目标</w:t>
      </w:r>
    </w:p>
    <w:p>
      <w:pPr>
        <w:spacing w:line="60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目标1：引导和支持农户参加农业保险；</w:t>
      </w:r>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目标2：中央和省级财政</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保障关系国计民生和粮食安全的大宗农产品，重点支持农业生产环节；</w:t>
      </w:r>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目标3：不断扩大农业保险覆盖面和风险保障水平，逐步建立市场化的农业生产风险防范化解机制；</w:t>
      </w:r>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目标4：稳定农业生产，保障农民收入。</w:t>
      </w:r>
    </w:p>
    <w:p>
      <w:pPr>
        <w:tabs>
          <w:tab w:val="left" w:pos="312"/>
        </w:tabs>
        <w:spacing w:line="600" w:lineRule="exact"/>
        <w:ind w:left="142" w:firstLine="640"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年度绩效目标</w:t>
      </w:r>
    </w:p>
    <w:p>
      <w:pPr>
        <w:spacing w:line="600" w:lineRule="exact"/>
        <w:ind w:firstLine="640" w:firstLineChars="20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eastAsia="zh-CN"/>
        </w:rPr>
        <w:t>市农业农村委</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highlight w:val="none"/>
        </w:rPr>
        <w:t>《财政部关于结算202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年度中央财政农业保险保费补贴资金和下达202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年第二笔中央财政农业保险保费补贴预算的通知》（财金〔202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rPr>
        <w:t>制定相应的绩效目标，绩效目标涵盖产出指标、效益指标及满意度指标，相应的绩效目标及完成情况，具体见下表。</w:t>
      </w:r>
    </w:p>
    <w:p>
      <w:pPr>
        <w:spacing w:line="600" w:lineRule="exact"/>
        <w:jc w:val="center"/>
        <w:outlineLvl w:val="9"/>
        <w:rPr>
          <w:rFonts w:hint="default" w:ascii="楷体_GB2312" w:hAnsi="楷体_GB2312" w:eastAsia="楷体_GB2312" w:cs="楷体_GB2312"/>
          <w:b/>
          <w:bCs w:val="0"/>
          <w:sz w:val="32"/>
          <w:szCs w:val="32"/>
        </w:rPr>
      </w:pPr>
      <w:r>
        <w:rPr>
          <w:rFonts w:hint="default" w:ascii="楷体_GB2312" w:hAnsi="楷体_GB2312" w:eastAsia="楷体_GB2312" w:cs="楷体_GB2312"/>
          <w:b/>
          <w:bCs w:val="0"/>
          <w:sz w:val="32"/>
          <w:szCs w:val="32"/>
        </w:rPr>
        <w:t>表</w:t>
      </w:r>
      <w:r>
        <w:rPr>
          <w:rFonts w:hint="default" w:ascii="楷体_GB2312" w:hAnsi="楷体_GB2312" w:eastAsia="楷体_GB2312" w:cs="楷体_GB2312"/>
          <w:b/>
          <w:bCs w:val="0"/>
          <w:sz w:val="32"/>
          <w:szCs w:val="32"/>
          <w:lang w:val="en-US" w:eastAsia="zh-CN"/>
        </w:rPr>
        <w:t>3</w:t>
      </w:r>
      <w:r>
        <w:rPr>
          <w:rFonts w:hint="default" w:ascii="楷体_GB2312" w:hAnsi="楷体_GB2312" w:eastAsia="楷体_GB2312" w:cs="楷体_GB2312"/>
          <w:b/>
          <w:bCs w:val="0"/>
          <w:sz w:val="32"/>
          <w:szCs w:val="32"/>
        </w:rPr>
        <w:t>：202</w:t>
      </w:r>
      <w:r>
        <w:rPr>
          <w:rFonts w:hint="default" w:ascii="楷体_GB2312" w:hAnsi="楷体_GB2312" w:eastAsia="楷体_GB2312" w:cs="楷体_GB2312"/>
          <w:b/>
          <w:bCs w:val="0"/>
          <w:sz w:val="32"/>
          <w:szCs w:val="32"/>
          <w:lang w:val="en-US" w:eastAsia="zh-CN"/>
        </w:rPr>
        <w:t>3</w:t>
      </w:r>
      <w:r>
        <w:rPr>
          <w:rFonts w:hint="default" w:ascii="楷体_GB2312" w:hAnsi="楷体_GB2312" w:eastAsia="楷体_GB2312" w:cs="楷体_GB2312"/>
          <w:b/>
          <w:bCs w:val="0"/>
          <w:sz w:val="32"/>
          <w:szCs w:val="32"/>
        </w:rPr>
        <w:t>年度农业保险保费补贴项目绩效目标及完成情况表</w:t>
      </w:r>
    </w:p>
    <w:tbl>
      <w:tblPr>
        <w:tblStyle w:val="11"/>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667"/>
        <w:gridCol w:w="3181"/>
        <w:gridCol w:w="151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21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一级指标</w:t>
            </w:r>
          </w:p>
        </w:tc>
        <w:tc>
          <w:tcPr>
            <w:tcW w:w="1667"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二级指标</w:t>
            </w:r>
          </w:p>
        </w:tc>
        <w:tc>
          <w:tcPr>
            <w:tcW w:w="3181"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三级指标</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rPr>
              <w:t>实际完成值</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标杆值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产出指标</w:t>
            </w:r>
          </w:p>
        </w:tc>
        <w:tc>
          <w:tcPr>
            <w:tcW w:w="1667"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数量指标</w:t>
            </w: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三大粮食作物投保面积覆盖面</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93.29</w:t>
            </w:r>
            <w:r>
              <w:rPr>
                <w:rFonts w:hint="eastAsia" w:ascii="仿宋_GB2312" w:hAnsi="仿宋_GB2312" w:eastAsia="仿宋_GB2312" w:cs="仿宋_GB2312"/>
                <w:color w:val="000000"/>
                <w:kern w:val="0"/>
                <w:sz w:val="24"/>
                <w:szCs w:val="24"/>
                <w:highlight w:val="none"/>
              </w:rPr>
              <w:t>%</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11"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1667"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育肥猪保险覆盖率</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90.6</w:t>
            </w:r>
            <w:r>
              <w:rPr>
                <w:rFonts w:hint="eastAsia" w:ascii="仿宋_GB2312" w:hAnsi="仿宋_GB2312" w:eastAsia="仿宋_GB2312" w:cs="仿宋_GB2312"/>
                <w:color w:val="000000"/>
                <w:kern w:val="0"/>
                <w:sz w:val="24"/>
                <w:szCs w:val="24"/>
                <w:highlight w:val="none"/>
              </w:rPr>
              <w:t>%</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1667"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质量指标</w:t>
            </w: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绝对免赔额</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0</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11"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1667"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风险保障水平</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2907.42</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高于上一年度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11"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667"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经济效益指标</w:t>
            </w: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风险保障总额（亿元）</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55.97</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高于上一年度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11"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1667"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农业保险综合费用率</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17.19</w:t>
            </w:r>
            <w:r>
              <w:rPr>
                <w:rFonts w:hint="eastAsia" w:ascii="仿宋_GB2312" w:hAnsi="仿宋_GB2312" w:eastAsia="仿宋_GB2312" w:cs="仿宋_GB2312"/>
                <w:color w:val="000000"/>
                <w:kern w:val="0"/>
                <w:sz w:val="24"/>
                <w:szCs w:val="24"/>
                <w:highlight w:val="none"/>
              </w:rPr>
              <w:t>%</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11"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rPr>
            </w:pPr>
          </w:p>
        </w:tc>
        <w:tc>
          <w:tcPr>
            <w:tcW w:w="1667"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社会效益指标</w:t>
            </w: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经办机构县级分支机构覆盖率</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100%</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11"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667" w:type="dxa"/>
            <w:vMerge w:val="restart"/>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服务对象满意度指标</w:t>
            </w: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承保理赔公示率</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100%</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11" w:type="dxa"/>
            <w:vMerge w:val="continue"/>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sz w:val="24"/>
                <w:szCs w:val="24"/>
              </w:rPr>
            </w:pPr>
          </w:p>
        </w:tc>
        <w:tc>
          <w:tcPr>
            <w:tcW w:w="1667" w:type="dxa"/>
            <w:vMerge w:val="continue"/>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sz w:val="24"/>
                <w:szCs w:val="24"/>
              </w:rPr>
            </w:pPr>
          </w:p>
        </w:tc>
        <w:tc>
          <w:tcPr>
            <w:tcW w:w="3181" w:type="dxa"/>
            <w:tcBorders>
              <w:tl2br w:val="nil"/>
              <w:tr2bl w:val="nil"/>
            </w:tcBorders>
            <w:shd w:val="clear" w:color="auto" w:fill="auto"/>
            <w:vAlign w:val="center"/>
          </w:tcPr>
          <w:p>
            <w:pPr>
              <w:widowControl/>
              <w:jc w:val="left"/>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参保农户满意度</w:t>
            </w:r>
          </w:p>
        </w:tc>
        <w:tc>
          <w:tcPr>
            <w:tcW w:w="1514"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92</w:t>
            </w:r>
            <w:r>
              <w:rPr>
                <w:rFonts w:hint="eastAsia" w:ascii="仿宋_GB2312" w:hAnsi="仿宋_GB2312" w:eastAsia="仿宋_GB2312" w:cs="仿宋_GB2312"/>
                <w:color w:val="000000"/>
                <w:kern w:val="0"/>
                <w:sz w:val="24"/>
                <w:szCs w:val="24"/>
                <w:highlight w:val="none"/>
              </w:rPr>
              <w:t>%</w:t>
            </w:r>
          </w:p>
        </w:tc>
        <w:tc>
          <w:tcPr>
            <w:tcW w:w="1665" w:type="dxa"/>
            <w:tcBorders>
              <w:tl2br w:val="nil"/>
              <w:tr2bl w:val="nil"/>
            </w:tcBorders>
            <w:shd w:val="clear" w:color="auto" w:fill="auto"/>
            <w:vAlign w:val="center"/>
          </w:tcPr>
          <w:p>
            <w:pPr>
              <w:widowControl/>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r>
    </w:tbl>
    <w:p>
      <w:pPr>
        <w:spacing w:line="600" w:lineRule="exact"/>
        <w:ind w:firstLine="640" w:firstLineChars="200"/>
        <w:outlineLvl w:val="0"/>
        <w:rPr>
          <w:rFonts w:hint="default" w:ascii="Times New Roman" w:hAnsi="Times New Roman" w:eastAsia="黑体" w:cs="Times New Roman"/>
          <w:b/>
          <w:bCs/>
          <w:sz w:val="32"/>
          <w:szCs w:val="32"/>
          <w:highlight w:val="none"/>
        </w:rPr>
      </w:pPr>
      <w:bookmarkStart w:id="16" w:name="_Toc100911819"/>
      <w:r>
        <w:rPr>
          <w:rFonts w:hint="default" w:ascii="Times New Roman" w:hAnsi="Times New Roman" w:eastAsia="黑体" w:cs="Times New Roman"/>
          <w:b/>
          <w:bCs/>
          <w:sz w:val="32"/>
          <w:szCs w:val="32"/>
          <w:highlight w:val="none"/>
        </w:rPr>
        <w:t>二、绩效情况分析</w:t>
      </w:r>
      <w:bookmarkEnd w:id="16"/>
    </w:p>
    <w:p>
      <w:pPr>
        <w:spacing w:line="600" w:lineRule="exact"/>
        <w:ind w:firstLine="640" w:firstLineChars="200"/>
        <w:outlineLvl w:val="1"/>
        <w:rPr>
          <w:rFonts w:hint="default" w:ascii="Times New Roman" w:hAnsi="Times New Roman" w:eastAsia="楷体_GB2312" w:cs="Times New Roman"/>
          <w:sz w:val="32"/>
          <w:szCs w:val="32"/>
          <w:highlight w:val="none"/>
        </w:rPr>
      </w:pPr>
      <w:bookmarkStart w:id="17" w:name="_Toc100911820"/>
      <w:r>
        <w:rPr>
          <w:rFonts w:hint="default" w:ascii="Times New Roman" w:hAnsi="Times New Roman" w:eastAsia="楷体_GB2312" w:cs="Times New Roman"/>
          <w:b/>
          <w:bCs/>
          <w:sz w:val="32"/>
          <w:szCs w:val="32"/>
          <w:highlight w:val="none"/>
        </w:rPr>
        <w:t>（一）资金投入情况分析</w:t>
      </w:r>
      <w:bookmarkEnd w:id="17"/>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bookmarkStart w:id="18" w:name="_Toc100911821"/>
      <w:r>
        <w:rPr>
          <w:rFonts w:hint="eastAsia" w:ascii="仿宋_GB2312" w:hAnsi="仿宋_GB2312" w:eastAsia="仿宋_GB2312" w:cs="仿宋_GB2312"/>
          <w:b/>
          <w:bCs/>
          <w:sz w:val="32"/>
          <w:szCs w:val="32"/>
          <w:highlight w:val="none"/>
          <w:lang w:val="en-US" w:eastAsia="zh-CN"/>
        </w:rPr>
        <w:t>1.</w:t>
      </w:r>
      <w:bookmarkEnd w:id="18"/>
      <w:r>
        <w:rPr>
          <w:rFonts w:hint="eastAsia" w:ascii="仿宋_GB2312" w:hAnsi="仿宋_GB2312" w:eastAsia="仿宋_GB2312" w:cs="仿宋_GB2312"/>
          <w:b/>
          <w:bCs/>
          <w:sz w:val="32"/>
          <w:szCs w:val="32"/>
          <w:highlight w:val="none"/>
          <w:lang w:val="en-US" w:eastAsia="zh-CN"/>
        </w:rPr>
        <w:t>资金到位</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资金到位率</w:t>
      </w:r>
    </w:p>
    <w:p>
      <w:pPr>
        <w:spacing w:line="60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根据《关于下达2023年中央财政农业保险保费补贴资金的通知》（沪财农〔2023〕54号），</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年中央对上海市农业保险保费补贴项目专项转移支付资金</w:t>
      </w:r>
      <w:r>
        <w:rPr>
          <w:rFonts w:hint="eastAsia" w:ascii="仿宋_GB2312" w:hAnsi="仿宋_GB2312" w:eastAsia="仿宋_GB2312" w:cs="仿宋_GB2312"/>
          <w:sz w:val="32"/>
          <w:szCs w:val="32"/>
          <w:highlight w:val="none"/>
          <w:lang w:val="en-US" w:eastAsia="zh-CN"/>
        </w:rPr>
        <w:t>14,468.93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当年拨付资金9,102万元，剩余5,366.93万元由上年度结转而来，该项目2023年实际分解下达资金14,468.93万元，资金到位率为100%</w:t>
      </w:r>
      <w:r>
        <w:rPr>
          <w:rFonts w:hint="eastAsia" w:ascii="仿宋_GB2312" w:hAnsi="仿宋_GB2312" w:eastAsia="仿宋_GB2312" w:cs="仿宋_GB2312"/>
          <w:sz w:val="32"/>
          <w:szCs w:val="32"/>
          <w:highlight w:val="none"/>
        </w:rPr>
        <w:t>。</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2.预算执行</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预算执行率</w:t>
      </w:r>
    </w:p>
    <w:p>
      <w:pPr>
        <w:spacing w:line="600" w:lineRule="exact"/>
        <w:ind w:firstLine="640" w:firstLineChars="200"/>
        <w:outlineLvl w:val="9"/>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z w:val="32"/>
          <w:szCs w:val="32"/>
          <w:highlight w:val="none"/>
        </w:rPr>
        <w:t>《财政部关于结算202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年度中央财政农业保险保费补贴资金和下达202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年第二笔中央财政农业保险保费补贴预算的通知》（财金〔202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农业保险保费补贴项目中央财政资金预算数为14,468.93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该项目中央财政资金全年实际执行数为14,468.93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预算执行率为100%。</w:t>
      </w:r>
    </w:p>
    <w:p>
      <w:pPr>
        <w:spacing w:line="600" w:lineRule="exact"/>
        <w:ind w:firstLine="640" w:firstLineChars="200"/>
        <w:outlineLvl w:val="1"/>
        <w:rPr>
          <w:rFonts w:hint="default" w:ascii="Times New Roman" w:hAnsi="Times New Roman" w:eastAsia="楷体_GB2312" w:cs="Times New Roman"/>
          <w:b/>
          <w:bCs/>
          <w:sz w:val="32"/>
          <w:szCs w:val="32"/>
          <w:highlight w:val="none"/>
        </w:rPr>
      </w:pPr>
      <w:bookmarkStart w:id="19" w:name="_Toc100911822"/>
      <w:r>
        <w:rPr>
          <w:rFonts w:hint="default" w:ascii="Times New Roman" w:hAnsi="Times New Roman" w:eastAsia="楷体_GB2312" w:cs="Times New Roman"/>
          <w:b/>
          <w:bCs/>
          <w:sz w:val="32"/>
          <w:szCs w:val="32"/>
          <w:highlight w:val="none"/>
        </w:rPr>
        <w:t>（二）资金管理情况分析</w:t>
      </w:r>
      <w:bookmarkEnd w:id="19"/>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1.分配科学性</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（1）方案编制合规性</w:t>
      </w:r>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年上海市农业保险保费补贴项目根据</w:t>
      </w:r>
      <w:r>
        <w:rPr>
          <w:rFonts w:hint="eastAsia" w:ascii="仿宋_GB2312" w:hAnsi="仿宋_GB2312" w:eastAsia="仿宋_GB2312" w:cs="仿宋_GB2312"/>
          <w:color w:val="auto"/>
          <w:sz w:val="32"/>
          <w:szCs w:val="32"/>
          <w:highlight w:val="none"/>
          <w:lang w:val="en-US" w:eastAsia="zh-CN"/>
        </w:rPr>
        <w:t>市农委</w:t>
      </w:r>
      <w:r>
        <w:rPr>
          <w:rFonts w:hint="eastAsia" w:ascii="仿宋_GB2312" w:hAnsi="仿宋_GB2312" w:eastAsia="仿宋_GB2312" w:cs="仿宋_GB2312"/>
          <w:color w:val="auto"/>
          <w:sz w:val="32"/>
          <w:szCs w:val="32"/>
          <w:highlight w:val="none"/>
        </w:rPr>
        <w:t>与市财政局共同制定的《关于印发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上海市市级财政农业保险保费补贴资金管理办法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的通知》（沪农委</w:t>
      </w:r>
      <w:r>
        <w:rPr>
          <w:rFonts w:hint="eastAsia" w:ascii="仿宋_GB2312" w:hAnsi="仿宋_GB2312" w:eastAsia="仿宋_GB2312" w:cs="仿宋_GB2312"/>
          <w:color w:val="auto"/>
          <w:sz w:val="32"/>
          <w:szCs w:val="32"/>
          <w:highlight w:val="none"/>
          <w:lang w:val="en-US" w:eastAsia="zh-CN"/>
        </w:rPr>
        <w:t>规</w:t>
      </w:r>
      <w:r>
        <w:rPr>
          <w:rFonts w:hint="eastAsia" w:ascii="仿宋_GB2312" w:hAnsi="仿宋_GB2312" w:eastAsia="仿宋_GB2312" w:cs="仿宋_GB2312"/>
          <w:color w:val="auto"/>
          <w:sz w:val="32"/>
          <w:szCs w:val="32"/>
          <w:highlight w:val="none"/>
        </w:rPr>
        <w:t>〔2021〕4号）的有关内容，明确市、区财政承担的保费补贴资金分别列入本级财政预算，区级及以下财政部门承担的保费补贴资金，由区级财政部门负责监督落实；明确各方在坚持本市农业保险补贴的基本原则以及保费补贴范围、比例、标准等方面的工作责任，从资金支持对象和范围、资金使用和管理、监督检查和绩效评价等方面进行规范。</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（2）资金分配科学性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w:t>
      </w:r>
      <w:r>
        <w:rPr>
          <w:rFonts w:hint="eastAsia" w:ascii="仿宋_GB2312" w:hAnsi="仿宋_GB2312" w:eastAsia="仿宋_GB2312" w:cs="仿宋_GB2312"/>
          <w:color w:val="auto"/>
          <w:sz w:val="32"/>
          <w:szCs w:val="32"/>
          <w:highlight w:val="none"/>
          <w:lang w:val="en-US" w:eastAsia="zh-CN"/>
        </w:rPr>
        <w:t>严格按照部门转移支付管理制度和相应的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2.下达及时性</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（1）方案报备及时性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w:t>
      </w:r>
      <w:r>
        <w:rPr>
          <w:rFonts w:hint="eastAsia" w:ascii="仿宋_GB2312" w:hAnsi="仿宋_GB2312" w:eastAsia="仿宋_GB2312" w:cs="仿宋_GB2312"/>
          <w:color w:val="auto"/>
          <w:sz w:val="32"/>
          <w:szCs w:val="32"/>
          <w:highlight w:val="none"/>
          <w:lang w:val="en-US" w:eastAsia="zh-CN"/>
        </w:rPr>
        <w:t>实施方案按要求于2023年6月30日前正式印发并报农财两部备案。</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（2）资金下达及时性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收到中央预算文件后，市农业农村委及时发布</w:t>
      </w:r>
      <w:r>
        <w:rPr>
          <w:rFonts w:hint="eastAsia" w:ascii="仿宋_GB2312" w:hAnsi="仿宋_GB2312" w:eastAsia="仿宋_GB2312" w:cs="仿宋_GB2312"/>
          <w:sz w:val="32"/>
          <w:szCs w:val="32"/>
          <w:highlight w:val="none"/>
          <w:lang w:val="en-US" w:eastAsia="zh-CN"/>
        </w:rPr>
        <w:t>《关于下达2023年中央财政农业保险保费补贴资金的通知》（沪财农〔2023〕54号）并结合《上海市市级财政农业保险保费补贴资金管理办法》（沪农委规〔2021〕4号）下达资金，资金下达及时。</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3.拨付合规性</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（1）政策信息公开度</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市农业农村委按要求将中央财政转移支付政策和实施方案在市农业农村委官网进行公示。</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（2）资金拨付合规性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市农业农村委按照国库集中支付制度有关规定支付资金，未出现违规将资金从国库转入财政专户或支付到预算单位实有资金账户等问题。</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4.使用规范性</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资金使用规范性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严格按照相应的资金管理办法和业务管理制度，规范各项经费的开支；资金使用规范，符合国家财经法规和财务管理以及有关专项资金管理办法的规定；资金拨付有完整的审批程序和手续，不存在截留、挤占、挪用、虚列支出等情况，保障会计核算准确、财务资料完整。</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5.执行准确性</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（1）预算偏差率</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w:t>
      </w:r>
      <w:r>
        <w:rPr>
          <w:rFonts w:hint="eastAsia" w:ascii="仿宋_GB2312" w:hAnsi="仿宋_GB2312" w:eastAsia="仿宋_GB2312" w:cs="仿宋_GB2312"/>
          <w:color w:val="auto"/>
          <w:sz w:val="32"/>
          <w:szCs w:val="32"/>
          <w:highlight w:val="none"/>
          <w:lang w:val="en-US" w:eastAsia="zh-CN"/>
        </w:rPr>
        <w:t>按照上级下达和本级预算安排的金额执行，不存在执行数偏离预算数的问题，预算偏差率为0%。</w:t>
      </w:r>
    </w:p>
    <w:p>
      <w:p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（2）数据材料准确性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w:t>
      </w:r>
      <w:r>
        <w:rPr>
          <w:rFonts w:hint="eastAsia" w:ascii="仿宋_GB2312" w:hAnsi="仿宋_GB2312" w:eastAsia="仿宋_GB2312" w:cs="仿宋_GB2312"/>
          <w:color w:val="auto"/>
          <w:sz w:val="32"/>
          <w:szCs w:val="32"/>
          <w:highlight w:val="none"/>
          <w:lang w:val="en-US" w:eastAsia="zh-CN"/>
        </w:rPr>
        <w:t>资金支出明细填报规范、准确，自评数据真实、准确，未发现与平台数据不一致等情况。</w:t>
      </w:r>
    </w:p>
    <w:p>
      <w:p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6.预算绩效管理</w:t>
      </w:r>
    </w:p>
    <w:p>
      <w:p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（1）绩效目标合理性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市农业农村委在细化下达预算时同步下达绩效目标，根据资金分配方案中细化下达的各区预算并结合农财两部下达的定性指标和定量指标，将中央下达的预算指标分解到各区，绩效目标合理。</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（2）绩效监控规范性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市农业农村委按要求部署绩效监控工作，及时规范填报资金分配、绩效分解等平台信息，未发现数据相互矛盾、反复调整等情况，并按要求上报2023年</w:t>
      </w:r>
      <w:r>
        <w:rPr>
          <w:rFonts w:hint="eastAsia" w:ascii="仿宋_GB2312" w:hAnsi="仿宋_GB2312" w:eastAsia="仿宋_GB2312" w:cs="仿宋_GB2312"/>
          <w:color w:val="auto"/>
          <w:sz w:val="32"/>
          <w:szCs w:val="32"/>
          <w:highlight w:val="none"/>
        </w:rPr>
        <w:t>上海市农业保险保费补贴</w:t>
      </w:r>
      <w:r>
        <w:rPr>
          <w:rFonts w:hint="eastAsia" w:ascii="仿宋_GB2312" w:hAnsi="仿宋_GB2312" w:eastAsia="仿宋_GB2312" w:cs="仿宋_GB2312"/>
          <w:color w:val="auto"/>
          <w:sz w:val="32"/>
          <w:szCs w:val="32"/>
          <w:highlight w:val="none"/>
          <w:lang w:val="en-US" w:eastAsia="zh-CN"/>
        </w:rPr>
        <w:t>总结报告等，绩效监控规范。</w:t>
      </w:r>
    </w:p>
    <w:p>
      <w:p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（3）绩效评价有效性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市农业农村委将有关资金纳入本级预算或对下转移支付绩效管理，开展绩效评价，将绩效评价结果作为区县或项目单位资金分配的重要依据。</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7.支出责任履行</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（1）管理制度健全性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市农业农村委严格按照《财政部 农业农村部关于印发农业相关转移支付资金管理办法的通知》（财农〔2023〕11号）、《财政部关于印发〈中央财政农业保险保费补贴管理办法〉的通知》（财金〔2021〕130号）和《关于印发〈上海市市级财政农业保险保费补贴资金管理办法〉的通知》（沪农委规〔2021〕4号）实施项目资金管理和绩效管理，管理制度健全。</w:t>
      </w:r>
    </w:p>
    <w:p>
      <w:pPr>
        <w:spacing w:line="600" w:lineRule="exact"/>
        <w:ind w:firstLine="640"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（2）地方财政投入</w:t>
      </w:r>
    </w:p>
    <w:p>
      <w:pPr>
        <w:spacing w:line="600" w:lineRule="exact"/>
        <w:ind w:firstLine="640" w:firstLineChars="200"/>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2023年，地方财政安排农业保险保费补贴52902.35万元，其中市级财政补贴29800万元，区级及以下财政补贴23102.35万元。</w:t>
      </w:r>
    </w:p>
    <w:p>
      <w:pPr>
        <w:spacing w:line="600" w:lineRule="exact"/>
        <w:ind w:firstLine="640" w:firstLineChars="200"/>
        <w:outlineLvl w:val="1"/>
        <w:rPr>
          <w:rFonts w:hint="default" w:ascii="Times New Roman" w:hAnsi="Times New Roman" w:eastAsia="仿宋_GB2312" w:cs="Times New Roman"/>
          <w:b/>
          <w:bCs/>
          <w:color w:val="auto"/>
          <w:sz w:val="32"/>
          <w:szCs w:val="32"/>
          <w:highlight w:val="none"/>
        </w:rPr>
      </w:pPr>
      <w:bookmarkStart w:id="20" w:name="_Toc100911823"/>
      <w:r>
        <w:rPr>
          <w:rFonts w:hint="default" w:ascii="Times New Roman" w:hAnsi="Times New Roman" w:eastAsia="楷体_GB2312" w:cs="Times New Roman"/>
          <w:b/>
          <w:bCs/>
          <w:color w:val="auto"/>
          <w:sz w:val="32"/>
          <w:szCs w:val="32"/>
          <w:highlight w:val="none"/>
        </w:rPr>
        <w:t>（三）总体绩效目标完成情况分析</w:t>
      </w:r>
      <w:bookmarkEnd w:id="20"/>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年上海市农业保险保费补贴项目按照沪农委、市财政的相关规划和实施方案，根据202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保险保费补贴资金的分配实施方案严格执行，工作扎实、推进有序，取得明显成效。达到了引导和支持农户参加农业保险，稳定农业生产，保障农民收入的目的；提高了农业保险覆盖面和保障程度，充分发挥现代农业保险风险保障和政策支持保护作用；构建覆盖自然风险、市场风险的多层次农业保险体系的目的。</w:t>
      </w:r>
    </w:p>
    <w:p>
      <w:pPr>
        <w:spacing w:line="600" w:lineRule="exact"/>
        <w:ind w:firstLine="64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年上海市农业保险保费补贴项目下达自评指标共计9项，其中产出类指标4项，效益类指标3项，满意度指标2项；通过统计分析可知：自评指标总体达标率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%，项目总体完成较好，项目实施带来了良好的社会效益和经济效果，受益对象满意度达标率100%，满意程度高；产出类指标、满意度类指标达标率均为100%。各类指标实际完成情况如下表。</w:t>
      </w:r>
    </w:p>
    <w:p>
      <w:pPr>
        <w:spacing w:line="600" w:lineRule="exact"/>
        <w:jc w:val="center"/>
        <w:outlineLvl w:val="9"/>
        <w:rPr>
          <w:rFonts w:hint="default" w:ascii="楷体_GB2312" w:hAnsi="楷体_GB2312" w:eastAsia="楷体_GB2312" w:cs="楷体_GB2312"/>
          <w:b/>
          <w:bCs w:val="0"/>
          <w:sz w:val="32"/>
          <w:szCs w:val="32"/>
        </w:rPr>
      </w:pPr>
      <w:r>
        <w:rPr>
          <w:rFonts w:hint="default" w:ascii="楷体_GB2312" w:hAnsi="楷体_GB2312" w:eastAsia="楷体_GB2312" w:cs="楷体_GB2312"/>
          <w:b/>
          <w:bCs w:val="0"/>
          <w:sz w:val="32"/>
          <w:szCs w:val="32"/>
        </w:rPr>
        <w:t>表</w:t>
      </w:r>
      <w:r>
        <w:rPr>
          <w:rFonts w:hint="default" w:ascii="楷体_GB2312" w:hAnsi="楷体_GB2312" w:eastAsia="楷体_GB2312" w:cs="楷体_GB2312"/>
          <w:b/>
          <w:bCs w:val="0"/>
          <w:sz w:val="32"/>
          <w:szCs w:val="32"/>
          <w:lang w:val="en-US" w:eastAsia="zh-CN"/>
        </w:rPr>
        <w:t>4</w:t>
      </w:r>
      <w:r>
        <w:rPr>
          <w:rFonts w:hint="default" w:ascii="楷体_GB2312" w:hAnsi="楷体_GB2312" w:eastAsia="楷体_GB2312" w:cs="楷体_GB2312"/>
          <w:b/>
          <w:bCs w:val="0"/>
          <w:sz w:val="32"/>
          <w:szCs w:val="32"/>
        </w:rPr>
        <w:t>：上海市202</w:t>
      </w:r>
      <w:r>
        <w:rPr>
          <w:rFonts w:hint="default" w:ascii="楷体_GB2312" w:hAnsi="楷体_GB2312" w:eastAsia="楷体_GB2312" w:cs="楷体_GB2312"/>
          <w:b/>
          <w:bCs w:val="0"/>
          <w:sz w:val="32"/>
          <w:szCs w:val="32"/>
          <w:lang w:val="en-US" w:eastAsia="zh-CN"/>
        </w:rPr>
        <w:t>3</w:t>
      </w:r>
      <w:r>
        <w:rPr>
          <w:rFonts w:hint="default" w:ascii="楷体_GB2312" w:hAnsi="楷体_GB2312" w:eastAsia="楷体_GB2312" w:cs="楷体_GB2312"/>
          <w:b/>
          <w:bCs w:val="0"/>
          <w:sz w:val="32"/>
          <w:szCs w:val="32"/>
        </w:rPr>
        <w:t>年度农业保险保费补贴项目绩效达标情况</w:t>
      </w:r>
    </w:p>
    <w:tbl>
      <w:tblPr>
        <w:tblStyle w:val="11"/>
        <w:tblW w:w="9238" w:type="dxa"/>
        <w:tblInd w:w="0" w:type="dxa"/>
        <w:tblLayout w:type="fixed"/>
        <w:tblCellMar>
          <w:top w:w="0" w:type="dxa"/>
          <w:left w:w="108" w:type="dxa"/>
          <w:bottom w:w="0" w:type="dxa"/>
          <w:right w:w="108" w:type="dxa"/>
        </w:tblCellMar>
      </w:tblPr>
      <w:tblGrid>
        <w:gridCol w:w="1540"/>
        <w:gridCol w:w="2320"/>
        <w:gridCol w:w="1854"/>
        <w:gridCol w:w="1854"/>
        <w:gridCol w:w="1670"/>
      </w:tblGrid>
      <w:tr>
        <w:tblPrEx>
          <w:tblCellMar>
            <w:top w:w="0" w:type="dxa"/>
            <w:left w:w="108" w:type="dxa"/>
            <w:bottom w:w="0" w:type="dxa"/>
            <w:right w:w="108" w:type="dxa"/>
          </w:tblCellMar>
        </w:tblPrEx>
        <w:trPr>
          <w:trHeight w:val="300" w:hRule="atLeast"/>
          <w:tblHead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指标大类</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指标子类</w:t>
            </w:r>
          </w:p>
        </w:tc>
        <w:tc>
          <w:tcPr>
            <w:tcW w:w="185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指标数量（项）</w:t>
            </w:r>
          </w:p>
        </w:tc>
        <w:tc>
          <w:tcPr>
            <w:tcW w:w="185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达标数量（项）</w:t>
            </w:r>
          </w:p>
        </w:tc>
        <w:tc>
          <w:tcPr>
            <w:tcW w:w="167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占比（%）</w:t>
            </w:r>
          </w:p>
        </w:tc>
      </w:tr>
      <w:tr>
        <w:tblPrEx>
          <w:tblCellMar>
            <w:top w:w="0" w:type="dxa"/>
            <w:left w:w="108" w:type="dxa"/>
            <w:bottom w:w="0" w:type="dxa"/>
            <w:right w:w="108" w:type="dxa"/>
          </w:tblCellMar>
        </w:tblPrEx>
        <w:trPr>
          <w:trHeight w:val="300" w:hRule="atLeast"/>
        </w:trPr>
        <w:tc>
          <w:tcPr>
            <w:tcW w:w="1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产出指标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数量指标</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7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r>
      <w:tr>
        <w:tblPrEx>
          <w:tblCellMar>
            <w:top w:w="0" w:type="dxa"/>
            <w:left w:w="108" w:type="dxa"/>
            <w:bottom w:w="0" w:type="dxa"/>
            <w:right w:w="108" w:type="dxa"/>
          </w:tblCellMar>
        </w:tblPrEx>
        <w:trPr>
          <w:trHeight w:val="300" w:hRule="atLeast"/>
        </w:trPr>
        <w:tc>
          <w:tcPr>
            <w:tcW w:w="1540" w:type="dxa"/>
            <w:vMerge w:val="continue"/>
            <w:tcBorders>
              <w:top w:val="nil"/>
              <w:left w:val="single" w:color="auto" w:sz="4" w:space="0"/>
              <w:bottom w:val="single" w:color="auto" w:sz="4" w:space="0"/>
              <w:right w:val="single" w:color="auto" w:sz="4" w:space="0"/>
            </w:tcBorders>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p>
        </w:tc>
        <w:tc>
          <w:tcPr>
            <w:tcW w:w="2320" w:type="dxa"/>
            <w:tcBorders>
              <w:top w:val="nil"/>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质量指标</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70" w:type="dxa"/>
            <w:tcBorders>
              <w:top w:val="single" w:color="auto" w:sz="4" w:space="0"/>
              <w:left w:val="nil"/>
              <w:bottom w:val="single" w:color="auto" w:sz="4" w:space="0"/>
              <w:right w:val="single" w:color="auto" w:sz="4" w:space="0"/>
            </w:tcBorders>
            <w:shd w:val="clear" w:color="auto" w:fill="auto"/>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r>
      <w:tr>
        <w:tblPrEx>
          <w:tblCellMar>
            <w:top w:w="0" w:type="dxa"/>
            <w:left w:w="108" w:type="dxa"/>
            <w:bottom w:w="0" w:type="dxa"/>
            <w:right w:w="108" w:type="dxa"/>
          </w:tblCellMar>
        </w:tblPrEx>
        <w:trPr>
          <w:trHeight w:val="300" w:hRule="atLeast"/>
        </w:trPr>
        <w:tc>
          <w:tcPr>
            <w:tcW w:w="1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效益指标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经济效益指标</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70" w:type="dxa"/>
            <w:tcBorders>
              <w:top w:val="single" w:color="auto" w:sz="4" w:space="0"/>
              <w:left w:val="nil"/>
              <w:bottom w:val="single" w:color="auto" w:sz="4" w:space="0"/>
              <w:right w:val="single" w:color="auto" w:sz="4" w:space="0"/>
            </w:tcBorders>
            <w:shd w:val="clear" w:color="auto" w:fill="auto"/>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0%</w:t>
            </w:r>
          </w:p>
        </w:tc>
      </w:tr>
      <w:tr>
        <w:tblPrEx>
          <w:tblCellMar>
            <w:top w:w="0" w:type="dxa"/>
            <w:left w:w="108" w:type="dxa"/>
            <w:bottom w:w="0" w:type="dxa"/>
            <w:right w:w="108" w:type="dxa"/>
          </w:tblCellMar>
        </w:tblPrEx>
        <w:trPr>
          <w:trHeight w:val="300" w:hRule="atLeast"/>
        </w:trPr>
        <w:tc>
          <w:tcPr>
            <w:tcW w:w="1540" w:type="dxa"/>
            <w:vMerge w:val="continue"/>
            <w:tcBorders>
              <w:top w:val="nil"/>
              <w:left w:val="single" w:color="auto" w:sz="4" w:space="0"/>
              <w:bottom w:val="single" w:color="auto" w:sz="4" w:space="0"/>
              <w:right w:val="single" w:color="auto" w:sz="4" w:space="0"/>
            </w:tcBorders>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p>
        </w:tc>
        <w:tc>
          <w:tcPr>
            <w:tcW w:w="2320" w:type="dxa"/>
            <w:tcBorders>
              <w:top w:val="nil"/>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社会效益指标</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670" w:type="dxa"/>
            <w:tcBorders>
              <w:top w:val="single" w:color="auto" w:sz="4" w:space="0"/>
              <w:left w:val="nil"/>
              <w:bottom w:val="single" w:color="auto" w:sz="4" w:space="0"/>
              <w:right w:val="single" w:color="auto" w:sz="4" w:space="0"/>
            </w:tcBorders>
            <w:shd w:val="clear" w:color="auto" w:fill="auto"/>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r>
      <w:tr>
        <w:tblPrEx>
          <w:tblCellMar>
            <w:top w:w="0" w:type="dxa"/>
            <w:left w:w="108" w:type="dxa"/>
            <w:bottom w:w="0" w:type="dxa"/>
            <w:right w:w="108" w:type="dxa"/>
          </w:tblCellMar>
        </w:tblPrEx>
        <w:trPr>
          <w:trHeight w:val="259" w:hRule="atLeast"/>
        </w:trPr>
        <w:tc>
          <w:tcPr>
            <w:tcW w:w="1540"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满意度指标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服务对象满意度指标</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70" w:type="dxa"/>
            <w:tcBorders>
              <w:top w:val="single" w:color="auto" w:sz="4" w:space="0"/>
              <w:left w:val="nil"/>
              <w:bottom w:val="single" w:color="auto" w:sz="4" w:space="0"/>
              <w:right w:val="single" w:color="auto" w:sz="4" w:space="0"/>
            </w:tcBorders>
            <w:shd w:val="clear" w:color="auto" w:fill="auto"/>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r>
      <w:tr>
        <w:tblPrEx>
          <w:tblCellMar>
            <w:top w:w="0" w:type="dxa"/>
            <w:left w:w="108" w:type="dxa"/>
            <w:bottom w:w="0" w:type="dxa"/>
            <w:right w:w="108" w:type="dxa"/>
          </w:tblCellMar>
        </w:tblPrEx>
        <w:trPr>
          <w:trHeight w:val="300" w:hRule="atLeast"/>
        </w:trPr>
        <w:tc>
          <w:tcPr>
            <w:tcW w:w="3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185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85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9</w:t>
            </w:r>
          </w:p>
        </w:tc>
        <w:tc>
          <w:tcPr>
            <w:tcW w:w="167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r>
              <w:rPr>
                <w:rFonts w:hint="eastAsia" w:ascii="仿宋_GB2312" w:hAnsi="仿宋_GB2312" w:eastAsia="仿宋_GB2312" w:cs="仿宋_GB2312"/>
                <w:color w:val="auto"/>
                <w:sz w:val="24"/>
                <w:szCs w:val="24"/>
                <w:highlight w:val="none"/>
              </w:rPr>
              <w:t>%</w:t>
            </w:r>
          </w:p>
        </w:tc>
      </w:tr>
    </w:tbl>
    <w:p>
      <w:pPr>
        <w:spacing w:line="6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本项目社会效果、经济效果达到了预期，总体执行情况良好。</w:t>
      </w:r>
    </w:p>
    <w:p>
      <w:pPr>
        <w:spacing w:line="600" w:lineRule="exact"/>
        <w:ind w:firstLine="640" w:firstLineChars="200"/>
        <w:outlineLvl w:val="1"/>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绩效指标完成情况分析</w:t>
      </w:r>
    </w:p>
    <w:p>
      <w:pPr>
        <w:spacing w:line="6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1.三大粮食作物投保面积覆盖面：</w:t>
      </w:r>
      <w:r>
        <w:rPr>
          <w:rFonts w:hint="eastAsia" w:ascii="仿宋_GB2312" w:hAnsi="仿宋_GB2312" w:eastAsia="仿宋_GB2312" w:cs="仿宋_GB2312"/>
          <w:color w:val="auto"/>
          <w:sz w:val="32"/>
          <w:szCs w:val="32"/>
          <w:highlight w:val="none"/>
          <w:lang w:val="en-US" w:eastAsia="zh-CN"/>
        </w:rPr>
        <w:t>水稻、小麦、玉米为三大粮食作物，2023年中央财政农业保险保费补贴项目涵盖水稻及水稻制种，根据上海市的实际情况，我市对上海水稻作物投保面积覆盖面做了统计，2023年上海市水稻种植面积156.5万亩，水稻投保面积146万亩，水稻投保面积覆盖面=投保面积/种植面积=146（万亩）/156.5（万亩）=93.29%，高于水稻投保面积覆盖面的设定指标值90%。</w:t>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rPr>
        <w:t>表</w:t>
      </w:r>
      <w:r>
        <w:rPr>
          <w:rFonts w:hint="default" w:ascii="楷体_GB2312" w:hAnsi="楷体_GB2312" w:eastAsia="楷体_GB2312" w:cs="楷体_GB2312"/>
          <w:b/>
          <w:bCs w:val="0"/>
          <w:sz w:val="32"/>
          <w:szCs w:val="32"/>
          <w:lang w:val="en-US" w:eastAsia="zh-CN"/>
        </w:rPr>
        <w:t>5</w:t>
      </w:r>
      <w:r>
        <w:rPr>
          <w:rFonts w:hint="default" w:ascii="楷体_GB2312" w:hAnsi="楷体_GB2312" w:eastAsia="楷体_GB2312" w:cs="楷体_GB2312"/>
          <w:b/>
          <w:bCs w:val="0"/>
          <w:sz w:val="32"/>
          <w:szCs w:val="32"/>
        </w:rPr>
        <w:t>：202</w:t>
      </w:r>
      <w:r>
        <w:rPr>
          <w:rFonts w:hint="default" w:ascii="楷体_GB2312" w:hAnsi="楷体_GB2312" w:eastAsia="楷体_GB2312" w:cs="楷体_GB2312"/>
          <w:b/>
          <w:bCs w:val="0"/>
          <w:sz w:val="32"/>
          <w:szCs w:val="32"/>
          <w:lang w:val="en-US" w:eastAsia="zh-CN"/>
        </w:rPr>
        <w:t>3</w:t>
      </w:r>
      <w:r>
        <w:rPr>
          <w:rFonts w:hint="default" w:ascii="楷体_GB2312" w:hAnsi="楷体_GB2312" w:eastAsia="楷体_GB2312" w:cs="楷体_GB2312"/>
          <w:b/>
          <w:bCs w:val="0"/>
          <w:sz w:val="32"/>
          <w:szCs w:val="32"/>
        </w:rPr>
        <w:t>年度上海市各区/单位种植水稻投保情况汇总表</w:t>
      </w:r>
    </w:p>
    <w:tbl>
      <w:tblPr>
        <w:tblStyle w:val="11"/>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2"/>
        <w:gridCol w:w="2732"/>
        <w:gridCol w:w="2900"/>
        <w:gridCol w:w="2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区（单位）</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水稻种植面积（万亩）</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水稻投保面积（万亩）</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投保面积覆盖面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闵行区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嘉定区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7.28</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宝山区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0.97</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0.95</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浦东新区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17.03</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奉贤区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松江区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13.61</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金山区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19.08</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青浦区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12.47</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崇明区</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26.7</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18.81</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光明集团</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31.3</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30.46</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地产农投</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2.73</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上实公司</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4.47</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7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156.5</w:t>
            </w:r>
          </w:p>
        </w:tc>
        <w:tc>
          <w:tcPr>
            <w:tcW w:w="2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146</w:t>
            </w:r>
          </w:p>
        </w:tc>
        <w:tc>
          <w:tcPr>
            <w:tcW w:w="21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93.29%</w:t>
            </w:r>
          </w:p>
        </w:tc>
      </w:tr>
    </w:tbl>
    <w:p>
      <w:pPr>
        <w:numPr>
          <w:ilvl w:val="0"/>
          <w:numId w:val="0"/>
        </w:num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2.育肥猪保险覆盖率：</w:t>
      </w:r>
      <w:r>
        <w:rPr>
          <w:rFonts w:hint="eastAsia" w:ascii="仿宋_GB2312" w:hAnsi="仿宋_GB2312" w:eastAsia="仿宋_GB2312" w:cs="仿宋_GB2312"/>
          <w:color w:val="auto"/>
          <w:sz w:val="32"/>
          <w:szCs w:val="32"/>
          <w:highlight w:val="none"/>
          <w:lang w:val="en-US" w:eastAsia="zh-CN"/>
        </w:rPr>
        <w:t>2023年上海市育肥猪养殖数量为221.9万头，育肥猪投保数量为201.57 万头；育肥猪保险覆盖率=投保数量/养殖数量=201.57 （万头）/221.9（万头）=90.6%，高于育肥猪保险覆盖率设定指标值90%。</w:t>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lang w:val="en-US" w:eastAsia="zh-CN"/>
        </w:rPr>
        <w:t>表6：2023年度上海市各区/单位育肥猪投保情况汇总表</w:t>
      </w:r>
    </w:p>
    <w:tbl>
      <w:tblPr>
        <w:tblStyle w:val="11"/>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0"/>
        <w:gridCol w:w="5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2023年度上海市各区/单位育肥猪投保情况汇总表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区（单位）</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育肥猪投保数量（万头）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闵行区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嘉定区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宝山区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浦东新区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奉贤区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松江区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金山区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青浦区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崇明区</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光明集团</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地产农投</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上实公司</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201.57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养殖数量合计</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育肥猪保险覆盖率</w:t>
            </w:r>
          </w:p>
        </w:tc>
        <w:tc>
          <w:tcPr>
            <w:tcW w:w="5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90.6%</w:t>
            </w:r>
          </w:p>
        </w:tc>
      </w:tr>
    </w:tbl>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3.绝对免赔额：</w:t>
      </w:r>
      <w:r>
        <w:rPr>
          <w:rFonts w:hint="eastAsia" w:ascii="仿宋_GB2312" w:hAnsi="仿宋_GB2312" w:eastAsia="仿宋_GB2312" w:cs="仿宋_GB2312"/>
          <w:color w:val="auto"/>
          <w:sz w:val="32"/>
          <w:szCs w:val="32"/>
          <w:highlight w:val="none"/>
          <w:lang w:val="en-US" w:eastAsia="zh-CN"/>
        </w:rPr>
        <w:t>2023年中央财政农业保险保费补贴项目的水稻、杂交水稻制种、能繁母猪、生猪、奶牛五个险种的保单条款中均无绝对免赔条款，按照实际损失情况进行理赔，保险绝对免赔额为0，达到设定的指标值。</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4.风险保障水平：</w:t>
      </w:r>
      <w:r>
        <w:rPr>
          <w:rFonts w:hint="eastAsia" w:ascii="仿宋_GB2312" w:hAnsi="仿宋_GB2312" w:eastAsia="仿宋_GB2312" w:cs="仿宋_GB2312"/>
          <w:color w:val="auto"/>
          <w:sz w:val="32"/>
          <w:szCs w:val="32"/>
          <w:highlight w:val="none"/>
          <w:lang w:val="en-US" w:eastAsia="zh-CN"/>
        </w:rPr>
        <w:t>2020年享受中央补贴的五项险种：水稻、杂交水稻制种、能繁母猪、生猪、奶牛的风险保障水平分别是1000元/亩、2500元/亩、2000元/头、1000元/头、10000元/头，2021年在稳定生猪生产保障市场供应要求的前提下，适时调整了相关农业保险政策，将生猪养殖险的保额从1000元/头提高到1300元/头，能繁母猪险保额从2000元/头提高到3000元/头，2023年水稻、杂交水稻制种、能繁母猪、生猪、奶牛的风险保障水平均与去年持平；以2023年度风险保障总额为权重计算的2023年风险保障水平为2,907.42元，高于2022年的风险保障水平2,344.65元（具体见下表）；总体上2023年总体风险保障水平高于2022年，具体见下表。</w:t>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lang w:val="en-US" w:eastAsia="zh-CN"/>
        </w:rPr>
        <w:t>表7：2023年农业保险保费补贴项目风险保障水平对比</w:t>
      </w:r>
    </w:p>
    <w:tbl>
      <w:tblPr>
        <w:tblStyle w:val="11"/>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6"/>
        <w:gridCol w:w="1122"/>
        <w:gridCol w:w="1231"/>
        <w:gridCol w:w="1160"/>
        <w:gridCol w:w="897"/>
        <w:gridCol w:w="1055"/>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color w:val="000000"/>
                <w:kern w:val="0"/>
                <w:sz w:val="24"/>
                <w:szCs w:val="24"/>
              </w:rPr>
              <w:t>补贴保障险种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水稻</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制种水稻</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能繁母猪</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奶牛</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2023年度风险保障总额（亿元）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15.67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0.96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2.59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26.51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10.24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2022年度风险保障水平（元/亩、头）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1000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3000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2023年度风险保障水平（元/亩、头）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1000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3000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2022年加权风险保障水平（元/亩、头）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318.82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37.02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165.58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640.81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1182.41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2344.65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2023年加权风险保障水平（元/亩、头）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279.93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42.78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139.02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615.71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1829.98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2907.42 </w:t>
            </w:r>
          </w:p>
        </w:tc>
      </w:tr>
    </w:tbl>
    <w:p>
      <w:pPr>
        <w:numPr>
          <w:ilvl w:val="0"/>
          <w:numId w:val="0"/>
        </w:num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5.风险保障总额</w:t>
      </w:r>
      <w:r>
        <w:rPr>
          <w:rFonts w:hint="eastAsia" w:ascii="仿宋_GB2312" w:hAnsi="仿宋_GB2312" w:eastAsia="仿宋_GB2312" w:cs="仿宋_GB2312"/>
          <w:color w:val="auto"/>
          <w:sz w:val="32"/>
          <w:szCs w:val="32"/>
          <w:highlight w:val="none"/>
          <w:lang w:val="en-US" w:eastAsia="zh-CN"/>
        </w:rPr>
        <w:t>：2023年为中央财政补贴险种水稻、杂交水稻制种、能繁母猪、生猪、奶牛5大险种，提供风险保障总额为55.97亿元，2022年提供风险保障总额为44.57亿元，风险保障总额增加11.4亿元，风险保障总额年度指标值高于2022年，具体见下表。</w:t>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lang w:val="en-US" w:eastAsia="zh-CN"/>
        </w:rPr>
        <w:t>表8：2023年农业保险保费补贴项目风险保障总额对比</w:t>
      </w:r>
    </w:p>
    <w:tbl>
      <w:tblPr>
        <w:tblStyle w:val="11"/>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5"/>
        <w:gridCol w:w="1408"/>
        <w:gridCol w:w="1475"/>
        <w:gridCol w:w="1425"/>
        <w:gridCol w:w="142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保险险种</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投保数量（万亩、万头）</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风险保障总额（万元）</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风险保障差（万元）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2022年</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2023年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2022年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2023年</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水稻</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142.11 </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146.00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142,114.70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156,671.96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14,557.26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杂交水稻制种</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2.65 </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3.83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6,636.75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9,576.65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2,939.90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能繁母猪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8.19 </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24,557.70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25,935.90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1,378.20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168.98 </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201.57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219,671.40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265,081.80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45,410.40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奶牛</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5.32 </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5.41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52,708.00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102,422.00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49,714.00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445,688.55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559,688.31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113,999.76 </w:t>
            </w:r>
          </w:p>
        </w:tc>
      </w:tr>
    </w:tbl>
    <w:p>
      <w:pPr>
        <w:numPr>
          <w:ilvl w:val="0"/>
          <w:numId w:val="0"/>
        </w:numPr>
        <w:spacing w:line="6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6.农业保险综合费用率：</w:t>
      </w:r>
      <w:r>
        <w:rPr>
          <w:rFonts w:hint="eastAsia" w:ascii="仿宋_GB2312" w:hAnsi="仿宋_GB2312" w:eastAsia="仿宋_GB2312" w:cs="仿宋_GB2312"/>
          <w:color w:val="auto"/>
          <w:sz w:val="32"/>
          <w:szCs w:val="32"/>
          <w:highlight w:val="none"/>
          <w:lang w:val="en-US" w:eastAsia="zh-CN"/>
        </w:rPr>
        <w:t>农业保险综合费用率，包含市级财政（含中央）补贴险种、区级补贴险种等农业综合补贴险种。农业保险综合费用率=综合费用/已赚保费=（营业费用+手续费支出+分保费用支出+保险业务营业税金及附加-摊回分保费用+提取保险保障基金）/（保费收入+分保费收入-分出保费-提存未到期责任准备金+转回未到期责任准备金），具体计算过程如下表。</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lang w:val="en-US" w:eastAsia="zh-CN"/>
        </w:rPr>
        <w:t>表9：2023年农业保险保费补贴项目农业保险综合费用率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right"/>
        <w:textAlignment w:val="auto"/>
        <w:outlineLvl w:val="9"/>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sz w:val="24"/>
          <w:szCs w:val="24"/>
        </w:rPr>
        <w:t>单位：元</w:t>
      </w:r>
    </w:p>
    <w:tbl>
      <w:tblPr>
        <w:tblStyle w:val="11"/>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9"/>
        <w:gridCol w:w="3728"/>
        <w:gridCol w:w="3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综合费用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营业费用</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186,614,949.76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手续费支出</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分保费用支出</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37,107,016.32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税金及附加</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保险保障基金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10,002,199.35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摊回分保费用</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-53,901,466.96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已赚保费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保费收入</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1,282,333,256.79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分保费收入</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190,003,190.93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分出保费</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-324,898,169.96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提取未到期责任准备金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-101,141,228.69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转会未到期责任准备金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综合费用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仿宋_GB2312" w:hAnsi="仿宋_GB2312" w:eastAsia="仿宋_GB2312" w:cs="仿宋_GB2312"/>
                <w:i w:val="0"/>
                <w:iCs w:val="0"/>
                <w:color w:val="000000"/>
                <w:sz w:val="24"/>
                <w:szCs w:val="24"/>
                <w:u w:val="none"/>
              </w:rPr>
            </w:pP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179,822,698.47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已赚保费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仿宋_GB2312" w:hAnsi="仿宋_GB2312" w:eastAsia="仿宋_GB2312" w:cs="仿宋_GB2312"/>
                <w:i w:val="0"/>
                <w:iCs w:val="0"/>
                <w:color w:val="000000"/>
                <w:sz w:val="24"/>
                <w:szCs w:val="24"/>
                <w:u w:val="none"/>
              </w:rPr>
            </w:pP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1,046,297,049.07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综合费用率</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仿宋_GB2312" w:hAnsi="仿宋_GB2312" w:eastAsia="仿宋_GB2312" w:cs="仿宋_GB2312"/>
                <w:i w:val="0"/>
                <w:iCs w:val="0"/>
                <w:color w:val="000000"/>
                <w:sz w:val="24"/>
                <w:szCs w:val="24"/>
                <w:u w:val="none"/>
              </w:rPr>
            </w:pP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17.19%</w:t>
            </w:r>
          </w:p>
        </w:tc>
      </w:tr>
    </w:tbl>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年农业保险保费补贴项目农业保险综合费用率为</w:t>
      </w:r>
      <w:r>
        <w:rPr>
          <w:rFonts w:hint="eastAsia" w:ascii="仿宋_GB2312" w:hAnsi="仿宋_GB2312" w:eastAsia="仿宋_GB2312" w:cs="仿宋_GB2312"/>
          <w:sz w:val="32"/>
          <w:szCs w:val="32"/>
          <w:lang w:val="en-US" w:eastAsia="zh-CN"/>
        </w:rPr>
        <w:t>17.19</w:t>
      </w:r>
      <w:r>
        <w:rPr>
          <w:rFonts w:hint="eastAsia" w:ascii="仿宋_GB2312" w:hAnsi="仿宋_GB2312" w:eastAsia="仿宋_GB2312" w:cs="仿宋_GB2312"/>
          <w:sz w:val="32"/>
          <w:szCs w:val="32"/>
        </w:rPr>
        <w:t>%，低于设定值20%。</w:t>
      </w:r>
    </w:p>
    <w:p>
      <w:pPr>
        <w:numPr>
          <w:ilvl w:val="0"/>
          <w:numId w:val="0"/>
        </w:numPr>
        <w:spacing w:line="600" w:lineRule="exact"/>
        <w:ind w:firstLine="640" w:firstLineChars="200"/>
        <w:outlineLvl w:val="9"/>
        <w:rPr>
          <w:rFonts w:hint="default" w:ascii="Times New Roman" w:hAnsi="Times New Roman" w:eastAsia="仿宋_GB2312" w:cs="Times New Roman"/>
          <w:color w:val="auto"/>
          <w:sz w:val="30"/>
          <w:szCs w:val="30"/>
          <w:highlight w:val="none"/>
          <w:lang w:val="en-US" w:eastAsia="zh-CN"/>
        </w:rPr>
      </w:pPr>
      <w:r>
        <w:rPr>
          <w:rFonts w:hint="eastAsia" w:ascii="仿宋_GB2312" w:hAnsi="仿宋_GB2312" w:eastAsia="仿宋_GB2312" w:cs="仿宋_GB2312"/>
          <w:b/>
          <w:bCs/>
          <w:color w:val="auto"/>
          <w:sz w:val="32"/>
          <w:szCs w:val="32"/>
          <w:highlight w:val="none"/>
          <w:lang w:val="en-US" w:eastAsia="zh-CN"/>
        </w:rPr>
        <w:t>7.经办机构县级分支机构覆盖率：</w:t>
      </w:r>
      <w:r>
        <w:rPr>
          <w:rFonts w:hint="eastAsia" w:ascii="仿宋_GB2312" w:hAnsi="仿宋_GB2312" w:eastAsia="仿宋_GB2312" w:cs="仿宋_GB2312"/>
          <w:color w:val="auto"/>
          <w:sz w:val="32"/>
          <w:szCs w:val="32"/>
          <w:highlight w:val="none"/>
          <w:lang w:val="en-US" w:eastAsia="zh-CN"/>
        </w:rPr>
        <w:t>在各涉农镇、村挂牌建立了1221个金融保险服务站，其中区级站点14个、镇级站点108个、村级站点1099个，覆盖了关联的区级、镇级、村级，具体如表12所示，经办机构乡级分支机构覆盖率达到了100%。</w:t>
      </w:r>
    </w:p>
    <w:p>
      <w:pPr>
        <w:spacing w:line="600" w:lineRule="exact"/>
        <w:jc w:val="center"/>
        <w:outlineLvl w:val="9"/>
        <w:rPr>
          <w:rFonts w:hint="default" w:ascii="楷体_GB2312" w:hAnsi="楷体_GB2312" w:eastAsia="楷体_GB2312" w:cs="楷体_GB2312"/>
          <w:b/>
          <w:bCs w:val="0"/>
          <w:sz w:val="32"/>
          <w:szCs w:val="32"/>
          <w:lang w:val="en-US" w:eastAsia="zh-CN"/>
        </w:rPr>
      </w:pPr>
      <w:r>
        <w:rPr>
          <w:rFonts w:hint="default" w:ascii="楷体_GB2312" w:hAnsi="楷体_GB2312" w:eastAsia="楷体_GB2312" w:cs="楷体_GB2312"/>
          <w:b/>
          <w:bCs w:val="0"/>
          <w:sz w:val="32"/>
          <w:szCs w:val="32"/>
          <w:lang w:val="en-US" w:eastAsia="zh-CN"/>
        </w:rPr>
        <w:t>表10：2023年三农（金融）保险服务网络覆盖情况</w:t>
      </w:r>
    </w:p>
    <w:tbl>
      <w:tblPr>
        <w:tblStyle w:val="11"/>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9"/>
        <w:gridCol w:w="2309"/>
        <w:gridCol w:w="231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区/单位</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区级</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镇级</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闵行区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松江区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宝山区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崇明区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奉贤区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嘉定区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金山区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浦东新区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青浦区</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市属企业</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1099</w:t>
            </w:r>
          </w:p>
        </w:tc>
      </w:tr>
    </w:tbl>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8.承保理赔公示率：</w:t>
      </w:r>
      <w:r>
        <w:rPr>
          <w:rFonts w:hint="eastAsia" w:ascii="仿宋_GB2312" w:hAnsi="仿宋_GB2312" w:eastAsia="仿宋_GB2312" w:cs="仿宋_GB2312"/>
          <w:color w:val="auto"/>
          <w:sz w:val="32"/>
          <w:szCs w:val="32"/>
          <w:highlight w:val="none"/>
          <w:lang w:val="en-US" w:eastAsia="zh-CN"/>
        </w:rPr>
        <w:t xml:space="preserve">理赔过程中遵照五公开三到户要求，对于组织投保的农户做到“定损到户、理赔到户、理赔结果公开”，在结案前在村级公共区域进行不少于3天的公示，2023年理赔案件数12287件，理赔案件公示件数12287件，承保理赔公示率100%，达到100%的设定指标。 </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9.参保农户满意度：</w:t>
      </w:r>
      <w:r>
        <w:rPr>
          <w:rFonts w:hint="eastAsia" w:ascii="仿宋_GB2312" w:hAnsi="仿宋_GB2312" w:eastAsia="仿宋_GB2312" w:cs="仿宋_GB2312"/>
          <w:color w:val="auto"/>
          <w:sz w:val="32"/>
          <w:szCs w:val="32"/>
          <w:highlight w:val="none"/>
          <w:lang w:val="en-US" w:eastAsia="zh-CN"/>
        </w:rPr>
        <w:t>该指标标杆值为“≥80%”，根据数据统计结果显示，该指标全年实际完成值为92%，指标达标率为100%。</w:t>
      </w:r>
    </w:p>
    <w:p>
      <w:pPr>
        <w:spacing w:line="600" w:lineRule="exact"/>
        <w:ind w:right="809" w:firstLine="628" w:firstLineChars="200"/>
        <w:outlineLvl w:val="0"/>
        <w:rPr>
          <w:rFonts w:hint="default" w:ascii="Times New Roman" w:hAnsi="Times New Roman" w:eastAsia="黑体" w:cs="Times New Roman"/>
          <w:b/>
          <w:bCs/>
          <w:color w:val="auto"/>
          <w:spacing w:val="-3"/>
          <w:sz w:val="32"/>
          <w:szCs w:val="32"/>
          <w:highlight w:val="none"/>
        </w:rPr>
      </w:pPr>
      <w:bookmarkStart w:id="21" w:name="_Toc100911828"/>
      <w:r>
        <w:rPr>
          <w:rFonts w:hint="default" w:ascii="Times New Roman" w:hAnsi="Times New Roman" w:eastAsia="黑体" w:cs="Times New Roman"/>
          <w:b/>
          <w:bCs/>
          <w:color w:val="auto"/>
          <w:spacing w:val="-3"/>
          <w:sz w:val="32"/>
          <w:szCs w:val="32"/>
          <w:highlight w:val="none"/>
        </w:rPr>
        <w:t>三、偏离绩效目标的原因和下一步改进措施</w:t>
      </w:r>
      <w:bookmarkEnd w:id="21"/>
    </w:p>
    <w:p>
      <w:pPr>
        <w:topLinePunct/>
        <w:spacing w:line="6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无。</w:t>
      </w:r>
    </w:p>
    <w:p>
      <w:pPr>
        <w:spacing w:line="600" w:lineRule="exact"/>
        <w:ind w:firstLine="640" w:firstLineChars="200"/>
        <w:outlineLvl w:val="0"/>
        <w:rPr>
          <w:rFonts w:hint="default" w:ascii="Times New Roman" w:hAnsi="Times New Roman" w:eastAsia="黑体" w:cs="Times New Roman"/>
          <w:b/>
          <w:bCs/>
          <w:color w:val="auto"/>
          <w:sz w:val="32"/>
          <w:szCs w:val="32"/>
          <w:highlight w:val="none"/>
        </w:rPr>
      </w:pPr>
      <w:bookmarkStart w:id="22" w:name="_Toc100911829"/>
      <w:r>
        <w:rPr>
          <w:rFonts w:hint="default" w:ascii="Times New Roman" w:hAnsi="Times New Roman" w:eastAsia="黑体" w:cs="Times New Roman"/>
          <w:b/>
          <w:bCs/>
          <w:color w:val="auto"/>
          <w:sz w:val="32"/>
          <w:szCs w:val="32"/>
          <w:highlight w:val="none"/>
        </w:rPr>
        <w:t>四、绩效自评结果拟应用和公开情况</w:t>
      </w:r>
      <w:bookmarkEnd w:id="22"/>
    </w:p>
    <w:p>
      <w:pPr>
        <w:spacing w:line="6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p>
    <w:p>
      <w:pPr>
        <w:spacing w:line="600" w:lineRule="exact"/>
        <w:ind w:firstLine="640" w:firstLineChars="200"/>
        <w:outlineLvl w:val="0"/>
        <w:rPr>
          <w:rFonts w:hint="default" w:ascii="Times New Roman" w:hAnsi="Times New Roman" w:eastAsia="黑体" w:cs="Times New Roman"/>
          <w:b/>
          <w:bCs/>
          <w:color w:val="auto"/>
          <w:sz w:val="32"/>
          <w:szCs w:val="32"/>
          <w:highlight w:val="none"/>
        </w:rPr>
      </w:pPr>
      <w:bookmarkStart w:id="23" w:name="_Toc100911830"/>
      <w:r>
        <w:rPr>
          <w:rFonts w:hint="default" w:ascii="Times New Roman" w:hAnsi="Times New Roman" w:eastAsia="黑体" w:cs="Times New Roman"/>
          <w:b/>
          <w:bCs/>
          <w:color w:val="auto"/>
          <w:sz w:val="32"/>
          <w:szCs w:val="32"/>
          <w:highlight w:val="none"/>
        </w:rPr>
        <w:t>五、其他需要说明的问题</w:t>
      </w:r>
      <w:bookmarkEnd w:id="23"/>
    </w:p>
    <w:p>
      <w:pPr>
        <w:spacing w:line="6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无。</w:t>
      </w:r>
    </w:p>
    <w:p>
      <w:pPr>
        <w:spacing w:line="600" w:lineRule="exact"/>
        <w:ind w:firstLine="640" w:firstLineChars="200"/>
        <w:outlineLvl w:val="0"/>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六、附件</w:t>
      </w:r>
    </w:p>
    <w:p>
      <w:pPr>
        <w:spacing w:line="600" w:lineRule="exact"/>
        <w:ind w:firstLine="640" w:firstLineChars="200"/>
        <w:outlineLvl w:val="9"/>
        <w:rPr>
          <w:rFonts w:hint="default" w:ascii="Times New Roman" w:hAnsi="Times New Roman" w:eastAsia="仿宋_GB2312" w:cs="Times New Roman"/>
          <w:bCs/>
          <w:sz w:val="30"/>
          <w:szCs w:val="30"/>
        </w:rPr>
      </w:pPr>
      <w:r>
        <w:rPr>
          <w:rFonts w:hint="eastAsia" w:ascii="仿宋_GB2312" w:hAnsi="仿宋_GB2312" w:eastAsia="仿宋_GB2312" w:cs="仿宋_GB2312"/>
          <w:bCs/>
          <w:sz w:val="32"/>
          <w:szCs w:val="32"/>
        </w:rPr>
        <w:t>附件1：转移支付区</w:t>
      </w:r>
      <w:r>
        <w:rPr>
          <w:rFonts w:hint="default" w:ascii="Times New Roman" w:hAnsi="Times New Roman" w:eastAsia="仿宋_GB2312" w:cs="Times New Roman"/>
          <w:bCs/>
          <w:sz w:val="32"/>
          <w:szCs w:val="32"/>
        </w:rPr>
        <w:t>域（项目）绩效自评表</w:t>
      </w:r>
    </w:p>
    <w:p>
      <w:pPr>
        <w:outlineLvl w:val="9"/>
        <w:rPr>
          <w:rFonts w:hint="default" w:ascii="Times New Roman" w:hAnsi="Times New Roman" w:eastAsia="仿宋_GB2312" w:cs="Times New Roman"/>
          <w:color w:val="auto"/>
          <w:sz w:val="30"/>
          <w:szCs w:val="30"/>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AndChars" w:linePitch="312" w:charSpace="0"/>
        </w:sectPr>
      </w:pPr>
    </w:p>
    <w:p>
      <w:pPr>
        <w:spacing w:line="600" w:lineRule="atLeast"/>
        <w:jc w:val="center"/>
        <w:outlineLvl w:val="9"/>
        <w:rPr>
          <w:rFonts w:hint="eastAsia" w:ascii="仿宋_GB2312" w:hAnsi="仿宋_GB2312" w:eastAsia="仿宋_GB2312" w:cs="仿宋_GB2312"/>
          <w:b/>
          <w:bCs/>
          <w:sz w:val="32"/>
          <w:szCs w:val="32"/>
        </w:rPr>
      </w:pPr>
      <w:bookmarkStart w:id="24" w:name="_Toc100911832"/>
      <w:bookmarkStart w:id="25" w:name="_Hlk100911319"/>
      <w:r>
        <w:rPr>
          <w:rFonts w:hint="eastAsia" w:ascii="仿宋_GB2312" w:hAnsi="仿宋_GB2312" w:eastAsia="仿宋_GB2312" w:cs="仿宋_GB2312"/>
          <w:b/>
          <w:bCs/>
          <w:sz w:val="32"/>
          <w:szCs w:val="32"/>
        </w:rPr>
        <w:t>中央财政农业保险保费补贴转移支付项目绩效自评表</w:t>
      </w:r>
      <w:bookmarkEnd w:id="24"/>
    </w:p>
    <w:bookmarkEnd w:id="25"/>
    <w:tbl>
      <w:tblPr>
        <w:tblStyle w:val="11"/>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774"/>
        <w:gridCol w:w="992"/>
        <w:gridCol w:w="163"/>
        <w:gridCol w:w="1791"/>
        <w:gridCol w:w="1483"/>
        <w:gridCol w:w="1320"/>
        <w:gridCol w:w="1725"/>
        <w:gridCol w:w="859"/>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758" w:type="dxa"/>
            <w:gridSpan w:val="4"/>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转移支付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名称</w:t>
            </w:r>
          </w:p>
        </w:tc>
        <w:tc>
          <w:tcPr>
            <w:tcW w:w="10824" w:type="dxa"/>
            <w:gridSpan w:val="6"/>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中央财政农业保险保费补贴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中央主管部门</w:t>
            </w:r>
          </w:p>
        </w:tc>
        <w:tc>
          <w:tcPr>
            <w:tcW w:w="10824" w:type="dxa"/>
            <w:gridSpan w:val="6"/>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财政部、农业农村部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地方主管部门</w:t>
            </w:r>
          </w:p>
        </w:tc>
        <w:tc>
          <w:tcPr>
            <w:tcW w:w="4594" w:type="dxa"/>
            <w:gridSpan w:val="3"/>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上海市财政局、上海市农业农村委</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资金使用单位</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758" w:type="dxa"/>
            <w:gridSpan w:val="4"/>
            <w:vMerge w:val="restart"/>
            <w:tcBorders>
              <w:tl2br w:val="nil"/>
              <w:tr2bl w:val="nil"/>
            </w:tcBorders>
            <w:tcMar>
              <w:top w:w="15" w:type="dxa"/>
              <w:left w:w="15" w:type="dxa"/>
              <w:bottom w:w="0" w:type="dxa"/>
              <w:right w:w="15" w:type="dxa"/>
            </w:tcMar>
            <w:vAlign w:val="center"/>
          </w:tcPr>
          <w:p>
            <w:pPr>
              <w:ind w:leftChars="-34" w:hanging="81" w:hangingChars="34"/>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资金投入情况</w:t>
            </w:r>
          </w:p>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（万元）</w:t>
            </w:r>
          </w:p>
        </w:tc>
        <w:tc>
          <w:tcPr>
            <w:tcW w:w="1791"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p>
        </w:tc>
        <w:tc>
          <w:tcPr>
            <w:tcW w:w="2803"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年预算数（万元）（A）</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全年执行数（万元）（B）</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预算执行率（B/A）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年度资金总额</w:t>
            </w:r>
          </w:p>
        </w:tc>
        <w:tc>
          <w:tcPr>
            <w:tcW w:w="2803"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sz w:val="24"/>
                <w:szCs w:val="24"/>
                <w:highlight w:val="yellow"/>
                <w:lang w:val="en-US" w:eastAsia="zh-CN"/>
              </w:rPr>
              <w:t>67,371.28</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sz w:val="24"/>
                <w:szCs w:val="24"/>
                <w:highlight w:val="yellow"/>
                <w:lang w:val="en-US" w:eastAsia="zh-CN"/>
              </w:rPr>
              <w:t>67,371.28</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其中：中央</w:t>
            </w:r>
            <w:r>
              <w:rPr>
                <w:rFonts w:hint="eastAsia" w:ascii="仿宋_GB2312" w:hAnsi="仿宋_GB2312" w:eastAsia="仿宋_GB2312" w:cs="仿宋_GB2312"/>
                <w:color w:val="000000"/>
                <w:sz w:val="24"/>
                <w:szCs w:val="24"/>
                <w:lang w:val="en-US" w:eastAsia="zh-CN"/>
              </w:rPr>
              <w:t>财政资金</w:t>
            </w:r>
          </w:p>
        </w:tc>
        <w:tc>
          <w:tcPr>
            <w:tcW w:w="2803"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14,468.93</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14,468.93</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righ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w:t>
            </w:r>
            <w:r>
              <w:rPr>
                <w:rFonts w:hint="eastAsia" w:ascii="仿宋_GB2312" w:hAnsi="仿宋_GB2312" w:eastAsia="仿宋_GB2312" w:cs="仿宋_GB2312"/>
                <w:color w:val="000000"/>
                <w:sz w:val="24"/>
                <w:szCs w:val="24"/>
                <w:lang w:val="en-US" w:eastAsia="zh-CN"/>
              </w:rPr>
              <w:t>财政</w:t>
            </w:r>
            <w:r>
              <w:rPr>
                <w:rFonts w:hint="eastAsia" w:ascii="仿宋_GB2312" w:hAnsi="仿宋_GB2312" w:eastAsia="仿宋_GB2312" w:cs="仿宋_GB2312"/>
                <w:color w:val="000000"/>
                <w:sz w:val="24"/>
                <w:szCs w:val="24"/>
              </w:rPr>
              <w:t>资金</w:t>
            </w:r>
          </w:p>
        </w:tc>
        <w:tc>
          <w:tcPr>
            <w:tcW w:w="2803"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yellow"/>
                <w:lang w:val="en-US" w:eastAsia="zh-CN"/>
              </w:rPr>
              <w:t>52,902.35</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sz w:val="24"/>
                <w:szCs w:val="24"/>
                <w:highlight w:val="yellow"/>
                <w:lang w:val="en-US" w:eastAsia="zh-CN"/>
              </w:rPr>
              <w:t>52,902.35</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righ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其他资金</w:t>
            </w:r>
          </w:p>
        </w:tc>
        <w:tc>
          <w:tcPr>
            <w:tcW w:w="2803"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2584"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restart"/>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资金管理情况</w:t>
            </w: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p>
        </w:tc>
        <w:tc>
          <w:tcPr>
            <w:tcW w:w="5387" w:type="dxa"/>
            <w:gridSpan w:val="4"/>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情况说明</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分配科学性</w:t>
            </w:r>
          </w:p>
        </w:tc>
        <w:tc>
          <w:tcPr>
            <w:tcW w:w="5387" w:type="dxa"/>
            <w:gridSpan w:val="4"/>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2023年上海市农业保险保费补贴项目根据市农委与市财政局共同制定的《关于印发</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上海市市级财政农业保险保费补贴资金管理办法</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的通知》（沪农委〔2021〕4号）的有关内容，明确市、区财政承担的保费补贴资金分别列入本级财政预算，区级及以下财政部门承担的保费补贴资金，由区级财政部门负责监督落实；</w:t>
            </w:r>
            <w:r>
              <w:rPr>
                <w:rFonts w:hint="eastAsia" w:ascii="仿宋_GB2312" w:hAnsi="仿宋_GB2312" w:eastAsia="仿宋_GB2312" w:cs="仿宋_GB2312"/>
                <w:color w:val="000000"/>
                <w:sz w:val="24"/>
                <w:szCs w:val="24"/>
              </w:rPr>
              <w:t>市农业农村委</w:t>
            </w:r>
            <w:r>
              <w:rPr>
                <w:rFonts w:hint="eastAsia" w:ascii="仿宋_GB2312" w:hAnsi="仿宋_GB2312" w:eastAsia="仿宋_GB2312" w:cs="仿宋_GB2312"/>
                <w:color w:val="000000"/>
                <w:kern w:val="0"/>
                <w:sz w:val="24"/>
                <w:szCs w:val="24"/>
              </w:rPr>
              <w:t>明确各方在坚持本市农业保险补贴的基本原则以及保费补贴范围、比例、标准等方面的工作责任，从资金支持对象和范围、资金使用和管理、监督检查和绩效评价等方面进行规范</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并</w:t>
            </w:r>
            <w:r>
              <w:rPr>
                <w:rFonts w:hint="eastAsia" w:ascii="仿宋_GB2312" w:hAnsi="仿宋_GB2312" w:eastAsia="仿宋_GB2312" w:cs="仿宋_GB2312"/>
                <w:color w:val="000000"/>
                <w:kern w:val="0"/>
                <w:sz w:val="24"/>
                <w:szCs w:val="24"/>
                <w:lang w:eastAsia="zh-CN"/>
              </w:rPr>
              <w:t>严格按照部门转移支付管理制度和相应的资金管理办法规定的范围和标准分配资金。</w:t>
            </w:r>
            <w:r>
              <w:rPr>
                <w:rFonts w:hint="eastAsia" w:ascii="仿宋_GB2312" w:hAnsi="仿宋_GB2312" w:eastAsia="仿宋_GB2312" w:cs="仿宋_GB2312"/>
                <w:color w:val="000000"/>
                <w:sz w:val="24"/>
                <w:szCs w:val="24"/>
              </w:rPr>
              <w:t>市农业农村委</w:t>
            </w:r>
            <w:r>
              <w:rPr>
                <w:rFonts w:hint="eastAsia" w:ascii="仿宋_GB2312" w:hAnsi="仿宋_GB2312" w:eastAsia="仿宋_GB2312" w:cs="仿宋_GB2312"/>
                <w:color w:val="000000"/>
                <w:kern w:val="0"/>
                <w:sz w:val="24"/>
                <w:szCs w:val="24"/>
                <w:lang w:eastAsia="zh-CN"/>
              </w:rPr>
              <w:t>严格按照中央财政下达的各项目支出方向预算资金额度执行，无跨转移支付项目整合资金、超出农财两部任务范围安排资金、将中央财政资金直接切块用于上海市及区县政策任务等情况。</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下达及时性</w:t>
            </w:r>
          </w:p>
        </w:tc>
        <w:tc>
          <w:tcPr>
            <w:tcW w:w="5387" w:type="dxa"/>
            <w:gridSpan w:val="4"/>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rPr>
              <w:t>2023年上海市农业保险保费补贴项目实施方案按要求于2023年6月30日前正式</w:t>
            </w:r>
            <w:r>
              <w:rPr>
                <w:rFonts w:hint="eastAsia" w:ascii="仿宋_GB2312" w:hAnsi="仿宋_GB2312" w:eastAsia="仿宋_GB2312" w:cs="仿宋_GB2312"/>
                <w:color w:val="000000"/>
                <w:kern w:val="0"/>
                <w:sz w:val="24"/>
                <w:szCs w:val="24"/>
                <w:lang w:eastAsia="zh-CN"/>
              </w:rPr>
              <w:t>印</w:t>
            </w:r>
            <w:r>
              <w:rPr>
                <w:rFonts w:hint="eastAsia" w:ascii="仿宋_GB2312" w:hAnsi="仿宋_GB2312" w:eastAsia="仿宋_GB2312" w:cs="仿宋_GB2312"/>
                <w:color w:val="000000"/>
                <w:kern w:val="0"/>
                <w:sz w:val="24"/>
                <w:szCs w:val="24"/>
              </w:rPr>
              <w:t>发并报农财两部备案</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并在收到中央预算文件后，</w:t>
            </w:r>
            <w:r>
              <w:rPr>
                <w:rFonts w:hint="eastAsia" w:ascii="仿宋_GB2312" w:hAnsi="仿宋_GB2312" w:eastAsia="仿宋_GB2312" w:cs="仿宋_GB2312"/>
                <w:color w:val="000000"/>
                <w:sz w:val="24"/>
                <w:szCs w:val="24"/>
              </w:rPr>
              <w:t>市农业农村委</w:t>
            </w:r>
            <w:r>
              <w:rPr>
                <w:rFonts w:hint="eastAsia" w:ascii="仿宋_GB2312" w:hAnsi="仿宋_GB2312" w:eastAsia="仿宋_GB2312" w:cs="仿宋_GB2312"/>
                <w:color w:val="000000"/>
                <w:kern w:val="0"/>
                <w:sz w:val="24"/>
                <w:szCs w:val="24"/>
                <w:lang w:val="en-US" w:eastAsia="zh-CN"/>
              </w:rPr>
              <w:t>及时发布《关于下达2023年中央财政农业保险保费补贴资金的通知》（沪财农〔2023〕54号）并结合《上海市市级财政农业保险保费补贴资金管理办法》（沪农委规〔2021〕4号）下达资金，资金下达及时。</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拨付合规性</w:t>
            </w:r>
          </w:p>
        </w:tc>
        <w:tc>
          <w:tcPr>
            <w:tcW w:w="5387" w:type="dxa"/>
            <w:gridSpan w:val="4"/>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市农业农村委按要求将中央财政转移支付政策和实施方案在市农业农村委官网进行公示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并按照国库集中支付制度有关规定支付资金，未出现违规将资金从国库转入财政专户或支付到预算单位实有资金账户等问题。</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使用规范性</w:t>
            </w:r>
          </w:p>
        </w:tc>
        <w:tc>
          <w:tcPr>
            <w:tcW w:w="5387" w:type="dxa"/>
            <w:gridSpan w:val="4"/>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农业农村委严格按照相应的资金管理办法和业务管理制度，规范各项经费的开支；资金使用规范，符合国家财经法规和财务管理以及有关专项资金管理办法的规定；资金拨付有完整的审批程序和手续，不存在截留、挤占、挪用、虚列支出等情况，保障会计核算准确、财务资料完整。</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执行准确性</w:t>
            </w:r>
          </w:p>
        </w:tc>
        <w:tc>
          <w:tcPr>
            <w:tcW w:w="5387" w:type="dxa"/>
            <w:gridSpan w:val="4"/>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2023年上海市农业保险保费补贴项目按照上级下达和本级预算安排的金额执行，不存在执行数偏离预算数的问题，预算偏差率为0%</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且</w:t>
            </w:r>
            <w:r>
              <w:rPr>
                <w:rFonts w:hint="eastAsia" w:ascii="仿宋_GB2312" w:hAnsi="仿宋_GB2312" w:eastAsia="仿宋_GB2312" w:cs="仿宋_GB2312"/>
                <w:color w:val="000000"/>
                <w:sz w:val="24"/>
                <w:szCs w:val="24"/>
              </w:rPr>
              <w:t>资金支出明细填报规范、准确，自评数据真实、准确，未发现与平台数据不一致等情况。</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预算绩效管理情况</w:t>
            </w:r>
          </w:p>
        </w:tc>
        <w:tc>
          <w:tcPr>
            <w:tcW w:w="5387" w:type="dxa"/>
            <w:gridSpan w:val="4"/>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市农业农村委在细化下达预算时同步下达绩效目标，根据资金分配方案中细化下达的各区预算并结合农财两部下达的定性指标和定量指标，将中央下达的预算指标分解到各区，绩效目标合理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并</w:t>
            </w:r>
            <w:r>
              <w:rPr>
                <w:rFonts w:hint="eastAsia" w:ascii="仿宋_GB2312" w:hAnsi="仿宋_GB2312" w:eastAsia="仿宋_GB2312" w:cs="仿宋_GB2312"/>
                <w:color w:val="000000"/>
                <w:sz w:val="24"/>
                <w:szCs w:val="24"/>
              </w:rPr>
              <w:t>按要求部署绩效监控工作，及时规范填报资金分配、绩效分解等平台信息，未发现数据相互矛盾、反复调整等情况，上报2023年上海市农业保险保费补贴总结报告等，绩效监控规范。</w:t>
            </w:r>
          </w:p>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市农业农村委将有关资金纳入本级预算或对下转移支付绩效管理，开展绩效评价，将绩效评价结果作为区县或项目单位资金分配的重要依据。</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758" w:type="dxa"/>
            <w:gridSpan w:val="4"/>
            <w:vMerge w:val="continue"/>
            <w:tcBorders>
              <w:tl2br w:val="nil"/>
              <w:tr2bl w:val="nil"/>
            </w:tcBorders>
            <w:vAlign w:val="center"/>
          </w:tcPr>
          <w:p>
            <w:pPr>
              <w:jc w:val="center"/>
              <w:outlineLvl w:val="9"/>
              <w:rPr>
                <w:rFonts w:hint="eastAsia" w:ascii="仿宋_GB2312" w:hAnsi="仿宋_GB2312" w:eastAsia="仿宋_GB2312" w:cs="仿宋_GB2312"/>
                <w:color w:val="000000"/>
                <w:sz w:val="24"/>
                <w:szCs w:val="24"/>
              </w:rPr>
            </w:pPr>
          </w:p>
        </w:tc>
        <w:tc>
          <w:tcPr>
            <w:tcW w:w="1791" w:type="dxa"/>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支出责任</w:t>
            </w:r>
            <w:r>
              <w:rPr>
                <w:rFonts w:hint="eastAsia" w:ascii="仿宋_GB2312" w:hAnsi="仿宋_GB2312" w:eastAsia="仿宋_GB2312" w:cs="仿宋_GB2312"/>
                <w:color w:val="000000"/>
                <w:sz w:val="24"/>
                <w:szCs w:val="24"/>
                <w:lang w:val="en-US" w:eastAsia="zh-CN"/>
              </w:rPr>
              <w:t>履行</w:t>
            </w:r>
            <w:r>
              <w:rPr>
                <w:rFonts w:hint="eastAsia" w:ascii="仿宋_GB2312" w:hAnsi="仿宋_GB2312" w:eastAsia="仿宋_GB2312" w:cs="仿宋_GB2312"/>
                <w:color w:val="000000"/>
                <w:sz w:val="24"/>
                <w:szCs w:val="24"/>
              </w:rPr>
              <w:t>情况</w:t>
            </w:r>
          </w:p>
        </w:tc>
        <w:tc>
          <w:tcPr>
            <w:tcW w:w="5387" w:type="dxa"/>
            <w:gridSpan w:val="4"/>
            <w:tcBorders>
              <w:tl2br w:val="nil"/>
              <w:tr2bl w:val="nil"/>
            </w:tcBorders>
            <w:tcMar>
              <w:top w:w="15" w:type="dxa"/>
              <w:left w:w="15" w:type="dxa"/>
              <w:bottom w:w="0" w:type="dxa"/>
              <w:right w:w="15" w:type="dxa"/>
            </w:tcMar>
            <w:vAlign w:val="center"/>
          </w:tcPr>
          <w:p>
            <w:pPr>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市农业农村委严格按照《财政部关于印发〈中央财政农业保险保费补贴管理办法〉的通知》（财金〔2021〕130号）和《关于印发</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上海市市级财政农业保险保费补贴资金管理办法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的通知》（沪农委</w:t>
            </w:r>
            <w:r>
              <w:rPr>
                <w:rFonts w:hint="eastAsia" w:ascii="仿宋_GB2312" w:hAnsi="仿宋_GB2312" w:eastAsia="仿宋_GB2312" w:cs="仿宋_GB2312"/>
                <w:color w:val="000000"/>
                <w:sz w:val="24"/>
                <w:szCs w:val="24"/>
                <w:lang w:val="en-US" w:eastAsia="zh-CN"/>
              </w:rPr>
              <w:t>规</w:t>
            </w:r>
            <w:r>
              <w:rPr>
                <w:rFonts w:hint="eastAsia" w:ascii="仿宋_GB2312" w:hAnsi="仿宋_GB2312" w:eastAsia="仿宋_GB2312" w:cs="仿宋_GB2312"/>
                <w:color w:val="000000"/>
                <w:sz w:val="24"/>
                <w:szCs w:val="24"/>
              </w:rPr>
              <w:t>〔2021〕4号）实施项目资金管理和绩效管理，管理制度健全。</w:t>
            </w:r>
            <w:r>
              <w:rPr>
                <w:rFonts w:hint="eastAsia" w:ascii="仿宋_GB2312" w:hAnsi="仿宋_GB2312" w:eastAsia="仿宋_GB2312" w:cs="仿宋_GB2312"/>
                <w:color w:val="000000"/>
                <w:sz w:val="24"/>
                <w:szCs w:val="24"/>
                <w:lang w:val="en-US" w:eastAsia="zh-CN"/>
              </w:rPr>
              <w:t>该项目下达资金全部来自中央财政资金，无地方财政投入。</w:t>
            </w:r>
          </w:p>
        </w:tc>
        <w:tc>
          <w:tcPr>
            <w:tcW w:w="3646"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restart"/>
            <w:tcBorders>
              <w:tl2br w:val="nil"/>
              <w:tr2bl w:val="nil"/>
            </w:tcBorders>
            <w:tcMar>
              <w:top w:w="15" w:type="dxa"/>
              <w:left w:w="15" w:type="dxa"/>
              <w:bottom w:w="0" w:type="dxa"/>
              <w:right w:w="15" w:type="dxa"/>
            </w:tcMar>
            <w:vAlign w:val="center"/>
          </w:tcPr>
          <w:p>
            <w:pPr>
              <w:ind w:leftChars="-214" w:hanging="513" w:hangingChars="214"/>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总体</w:t>
            </w:r>
            <w:r>
              <w:rPr>
                <w:rFonts w:hint="eastAsia" w:ascii="仿宋_GB2312" w:hAnsi="仿宋_GB2312" w:eastAsia="仿宋_GB2312" w:cs="仿宋_GB2312"/>
                <w:color w:val="000000"/>
                <w:sz w:val="24"/>
                <w:szCs w:val="24"/>
                <w:lang w:val="en-US" w:eastAsia="zh-CN"/>
              </w:rPr>
              <w:t>总体</w:t>
            </w:r>
            <w:r>
              <w:rPr>
                <w:rFonts w:hint="eastAsia" w:ascii="仿宋_GB2312" w:hAnsi="仿宋_GB2312" w:eastAsia="仿宋_GB2312" w:cs="仿宋_GB2312"/>
                <w:color w:val="000000"/>
                <w:sz w:val="24"/>
                <w:szCs w:val="24"/>
              </w:rPr>
              <w:t>目标完成情况</w:t>
            </w:r>
          </w:p>
        </w:tc>
        <w:tc>
          <w:tcPr>
            <w:tcW w:w="6523" w:type="dxa"/>
            <w:gridSpan w:val="6"/>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总体目标</w:t>
            </w:r>
          </w:p>
        </w:tc>
        <w:tc>
          <w:tcPr>
            <w:tcW w:w="6230"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6523" w:type="dxa"/>
            <w:gridSpan w:val="6"/>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目标1：引导和支持农户参加农业保险；</w:t>
            </w:r>
          </w:p>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目标2：中央和省级财政重要保障关系国计民生和粮食安全的大宗农产品，重点支持农业生产环节；</w:t>
            </w:r>
          </w:p>
          <w:p>
            <w:pPr>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目标3：不断扩大农业保险覆盖面和风险保障水平，逐步建立市场化的农业生产风险防范化解机制；</w:t>
            </w:r>
          </w:p>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目标4：稳定农业生产，保障农民收入。</w:t>
            </w:r>
          </w:p>
        </w:tc>
        <w:tc>
          <w:tcPr>
            <w:tcW w:w="6230" w:type="dxa"/>
            <w:gridSpan w:val="3"/>
            <w:tcBorders>
              <w:tl2br w:val="nil"/>
              <w:tr2bl w:val="nil"/>
            </w:tcBorders>
            <w:tcMar>
              <w:top w:w="15" w:type="dxa"/>
              <w:left w:w="15" w:type="dxa"/>
              <w:bottom w:w="0" w:type="dxa"/>
              <w:right w:w="15" w:type="dxa"/>
            </w:tcMar>
            <w:vAlign w:val="center"/>
          </w:tcPr>
          <w:p>
            <w:pP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本项目按照沪农委、市财政的相关规划和实施方案，根据202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年保险保费补贴资金的分配实施方案严格执行，工作扎实、推进有序，取得明显成效。达到了引导和支持农户参加农业保险，稳定农业生产，保障农民收入的目的；提高了农业保险覆盖面和保障程度，充分发挥现代农业保险风险保障和政策支持保护作用；构建覆盖自然风险、市场风险的多层次农业保险体系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829" w:type="dxa"/>
            <w:vMerge w:val="restart"/>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w:t>
            </w:r>
          </w:p>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p>
        </w:tc>
        <w:tc>
          <w:tcPr>
            <w:tcW w:w="774"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一级指标</w:t>
            </w:r>
          </w:p>
        </w:tc>
        <w:tc>
          <w:tcPr>
            <w:tcW w:w="992"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二级指标</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三级指标</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指标值</w:t>
            </w:r>
          </w:p>
        </w:tc>
        <w:tc>
          <w:tcPr>
            <w:tcW w:w="1725"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全年实际完成值</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829" w:type="dxa"/>
            <w:vMerge w:val="continue"/>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p>
        </w:tc>
        <w:tc>
          <w:tcPr>
            <w:tcW w:w="774" w:type="dxa"/>
            <w:vMerge w:val="restart"/>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产出指标</w:t>
            </w:r>
          </w:p>
        </w:tc>
        <w:tc>
          <w:tcPr>
            <w:tcW w:w="992" w:type="dxa"/>
            <w:vMerge w:val="restart"/>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三大粮食作物投保面积覆盖面</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rPr>
              <w:t>93.29</w:t>
            </w:r>
            <w:r>
              <w:rPr>
                <w:rFonts w:hint="eastAsia" w:ascii="仿宋_GB2312" w:hAnsi="仿宋_GB2312" w:eastAsia="仿宋_GB2312" w:cs="仿宋_GB2312"/>
                <w:color w:val="000000"/>
                <w:kern w:val="0"/>
                <w:sz w:val="24"/>
                <w:szCs w:val="24"/>
                <w:highlight w:val="none"/>
              </w:rPr>
              <w:t>%</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育肥猪保险覆盖率</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rPr>
              <w:t>90.6</w:t>
            </w:r>
            <w:r>
              <w:rPr>
                <w:rFonts w:hint="eastAsia" w:ascii="仿宋_GB2312" w:hAnsi="仿宋_GB2312" w:eastAsia="仿宋_GB2312" w:cs="仿宋_GB2312"/>
                <w:color w:val="000000"/>
                <w:kern w:val="0"/>
                <w:sz w:val="24"/>
                <w:szCs w:val="24"/>
                <w:highlight w:val="none"/>
              </w:rPr>
              <w:t>%</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vMerge w:val="restart"/>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绝对免赔额</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rPr>
              <w:t>0</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风险保障水平</w:t>
            </w:r>
          </w:p>
        </w:tc>
        <w:tc>
          <w:tcPr>
            <w:tcW w:w="1320"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高于上一年度</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2907.42</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restart"/>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效益指标</w:t>
            </w:r>
          </w:p>
          <w:p>
            <w:pPr>
              <w:outlineLvl w:val="9"/>
              <w:rPr>
                <w:rFonts w:hint="eastAsia" w:ascii="仿宋_GB2312" w:hAnsi="仿宋_GB2312" w:eastAsia="仿宋_GB2312" w:cs="仿宋_GB2312"/>
                <w:color w:val="000000"/>
                <w:sz w:val="24"/>
                <w:szCs w:val="24"/>
              </w:rPr>
            </w:pPr>
          </w:p>
        </w:tc>
        <w:tc>
          <w:tcPr>
            <w:tcW w:w="992" w:type="dxa"/>
            <w:vMerge w:val="restart"/>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经济效益指标</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风险保障总额（亿元）</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高于上一年度</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highlight w:val="none"/>
                <w:lang w:val="en-US"/>
              </w:rPr>
            </w:pPr>
            <w:r>
              <w:rPr>
                <w:rFonts w:hint="eastAsia" w:ascii="仿宋_GB2312" w:hAnsi="仿宋_GB2312" w:eastAsia="仿宋_GB2312" w:cs="仿宋_GB2312"/>
                <w:color w:val="000000"/>
                <w:sz w:val="24"/>
                <w:szCs w:val="24"/>
                <w:highlight w:val="none"/>
                <w:lang w:val="en-US" w:eastAsia="zh-CN"/>
              </w:rPr>
              <w:t>55.97</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农业保险综合费用率</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rPr>
              <w:t>17.19</w:t>
            </w:r>
            <w:r>
              <w:rPr>
                <w:rFonts w:hint="eastAsia" w:ascii="仿宋_GB2312" w:hAnsi="仿宋_GB2312" w:eastAsia="仿宋_GB2312" w:cs="仿宋_GB2312"/>
                <w:color w:val="000000"/>
                <w:kern w:val="0"/>
                <w:sz w:val="24"/>
                <w:szCs w:val="24"/>
                <w:highlight w:val="none"/>
              </w:rPr>
              <w:t>%</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经办机构县级分支机构覆盖率</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rPr>
              <w:t>100%</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restart"/>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满意度指标</w:t>
            </w:r>
          </w:p>
        </w:tc>
        <w:tc>
          <w:tcPr>
            <w:tcW w:w="992" w:type="dxa"/>
            <w:vMerge w:val="restart"/>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服务对象满意度</w:t>
            </w: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承保理赔公示率</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rPr>
              <w:t>100%</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829"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774" w:type="dxa"/>
            <w:vMerge w:val="continue"/>
            <w:tcBorders>
              <w:tl2br w:val="nil"/>
              <w:tr2bl w:val="nil"/>
            </w:tcBorders>
            <w:vAlign w:val="center"/>
          </w:tcPr>
          <w:p>
            <w:pPr>
              <w:outlineLvl w:val="9"/>
              <w:rPr>
                <w:rFonts w:hint="eastAsia" w:ascii="仿宋_GB2312" w:hAnsi="仿宋_GB2312" w:eastAsia="仿宋_GB2312" w:cs="仿宋_GB2312"/>
                <w:color w:val="000000"/>
                <w:sz w:val="24"/>
                <w:szCs w:val="24"/>
              </w:rPr>
            </w:pPr>
          </w:p>
        </w:tc>
        <w:tc>
          <w:tcPr>
            <w:tcW w:w="992" w:type="dxa"/>
            <w:vMerge w:val="continue"/>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p>
        </w:tc>
        <w:tc>
          <w:tcPr>
            <w:tcW w:w="3437" w:type="dxa"/>
            <w:gridSpan w:val="3"/>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参保农户满意度</w:t>
            </w:r>
          </w:p>
        </w:tc>
        <w:tc>
          <w:tcPr>
            <w:tcW w:w="1320" w:type="dxa"/>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725" w:type="dxa"/>
            <w:tcBorders>
              <w:tl2br w:val="nil"/>
              <w:tr2bl w:val="nil"/>
            </w:tcBorders>
            <w:tcMar>
              <w:top w:w="15" w:type="dxa"/>
              <w:left w:w="15" w:type="dxa"/>
              <w:bottom w:w="0" w:type="dxa"/>
              <w:right w:w="15" w:type="dxa"/>
            </w:tcMar>
            <w:vAlign w:val="center"/>
          </w:tcPr>
          <w:p>
            <w:pPr>
              <w:widowControl/>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rPr>
              <w:t>92</w:t>
            </w:r>
            <w:r>
              <w:rPr>
                <w:rFonts w:hint="eastAsia" w:ascii="仿宋_GB2312" w:hAnsi="仿宋_GB2312" w:eastAsia="仿宋_GB2312" w:cs="仿宋_GB2312"/>
                <w:color w:val="000000"/>
                <w:kern w:val="0"/>
                <w:sz w:val="24"/>
                <w:szCs w:val="24"/>
                <w:highlight w:val="none"/>
              </w:rPr>
              <w:t>%</w:t>
            </w:r>
          </w:p>
        </w:tc>
        <w:tc>
          <w:tcPr>
            <w:tcW w:w="4505" w:type="dxa"/>
            <w:gridSpan w:val="2"/>
            <w:tcBorders>
              <w:tl2br w:val="nil"/>
              <w:tr2bl w:val="nil"/>
            </w:tcBorders>
            <w:tcMar>
              <w:top w:w="15" w:type="dxa"/>
              <w:left w:w="15" w:type="dxa"/>
              <w:bottom w:w="0" w:type="dxa"/>
              <w:right w:w="15" w:type="dxa"/>
            </w:tcMar>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829" w:type="dxa"/>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w:t>
            </w:r>
          </w:p>
        </w:tc>
        <w:tc>
          <w:tcPr>
            <w:tcW w:w="12753" w:type="dxa"/>
            <w:gridSpan w:val="9"/>
            <w:tcBorders>
              <w:tl2br w:val="nil"/>
              <w:tr2bl w:val="nil"/>
            </w:tcBorders>
            <w:vAlign w:val="center"/>
          </w:tcPr>
          <w:p>
            <w:pPr>
              <w:jc w:val="left"/>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无。</w:t>
            </w:r>
          </w:p>
        </w:tc>
      </w:tr>
    </w:tbl>
    <w:p>
      <w:pPr>
        <w:ind w:firstLine="420" w:firstLineChars="200"/>
        <w:rPr>
          <w:rFonts w:ascii="仿宋_GB2312" w:hAnsi="仿宋_GB2312" w:eastAsia="仿宋_GB2312" w:cs="仿宋_GB2312"/>
          <w:szCs w:val="21"/>
        </w:rPr>
      </w:pPr>
    </w:p>
    <w:sectPr>
      <w:footerReference r:id="rId4" w:type="default"/>
      <w:pgSz w:w="16838" w:h="11906" w:orient="landscape"/>
      <w:pgMar w:top="1559" w:right="1843"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086698"/>
    </w:sdtPr>
    <w:sdtEndPr>
      <w:rPr>
        <w:rFonts w:hint="eastAsia" w:ascii="仿宋_GB2312" w:eastAsia="仿宋_GB2312"/>
      </w:rPr>
    </w:sdtEndPr>
    <w:sdtContent>
      <w:p>
        <w:pPr>
          <w:pStyle w:val="7"/>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hint="eastAsia" w:ascii="仿宋_GB2312" w:eastAsia="仿宋_GB2312"/>
            <w:lang w:val="zh-CN"/>
          </w:rPr>
          <w:t>2</w:t>
        </w:r>
        <w:r>
          <w:rPr>
            <w:rFonts w:hint="eastAsia" w:ascii="仿宋_GB2312" w:eastAsia="仿宋_GB2312"/>
          </w:rPr>
          <w:fldChar w:fldCharType="end"/>
        </w:r>
      </w:p>
    </w:sdtContent>
  </w:sdt>
  <w:p>
    <w:pPr>
      <w:spacing w:line="130" w:lineRule="exact"/>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086698"/>
    </w:sdtPr>
    <w:sdtEndPr>
      <w:rPr>
        <w:rFonts w:hint="eastAsia" w:ascii="仿宋_GB2312" w:eastAsia="仿宋_GB2312"/>
      </w:rPr>
    </w:sdtEndPr>
    <w:sdtContent>
      <w:p>
        <w:pPr>
          <w:pStyle w:val="7"/>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hint="eastAsia" w:ascii="仿宋_GB2312" w:eastAsia="仿宋_GB2312"/>
            <w:lang w:val="zh-CN"/>
          </w:rPr>
          <w:t>2</w:t>
        </w:r>
        <w:r>
          <w:rPr>
            <w:rFonts w:hint="eastAsia" w:ascii="仿宋_GB2312" w:eastAsia="仿宋_GB2312"/>
          </w:rPr>
          <w:fldChar w:fldCharType="end"/>
        </w:r>
      </w:p>
    </w:sdtContent>
  </w:sdt>
  <w:p>
    <w:pPr>
      <w:spacing w:line="130" w:lineRule="exact"/>
      <w:rPr>
        <w:rFonts w:ascii="仿宋" w:hAnsi="仿宋" w:eastAsia="仿宋" w:cs="仿宋"/>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06286"/>
    <w:multiLevelType w:val="multilevel"/>
    <w:tmpl w:val="34206286"/>
    <w:lvl w:ilvl="0" w:tentative="0">
      <w:start w:val="1"/>
      <w:numFmt w:val="chineseCountingThousand"/>
      <w:pStyle w:val="1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D31AAF"/>
    <w:multiLevelType w:val="multilevel"/>
    <w:tmpl w:val="5AD31AAF"/>
    <w:lvl w:ilvl="0" w:tentative="0">
      <w:start w:val="1"/>
      <w:numFmt w:val="chineseCountingThousand"/>
      <w:pStyle w:val="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zFjMjBlZDYxYTNlYTMzMzE1MjZlZDVjZDUwMGEifQ=="/>
  </w:docVars>
  <w:rsids>
    <w:rsidRoot w:val="007C452B"/>
    <w:rsid w:val="00005970"/>
    <w:rsid w:val="00030CA9"/>
    <w:rsid w:val="000414E6"/>
    <w:rsid w:val="000437F2"/>
    <w:rsid w:val="000534DD"/>
    <w:rsid w:val="00055CA1"/>
    <w:rsid w:val="000624E8"/>
    <w:rsid w:val="00064117"/>
    <w:rsid w:val="00065382"/>
    <w:rsid w:val="000764C9"/>
    <w:rsid w:val="00084E4E"/>
    <w:rsid w:val="00085354"/>
    <w:rsid w:val="00090317"/>
    <w:rsid w:val="000B0627"/>
    <w:rsid w:val="000B7E38"/>
    <w:rsid w:val="000C4778"/>
    <w:rsid w:val="000E016D"/>
    <w:rsid w:val="000E23B8"/>
    <w:rsid w:val="000F5766"/>
    <w:rsid w:val="000F7C49"/>
    <w:rsid w:val="00111354"/>
    <w:rsid w:val="00115C27"/>
    <w:rsid w:val="001246E2"/>
    <w:rsid w:val="001301E0"/>
    <w:rsid w:val="00162A72"/>
    <w:rsid w:val="0016435D"/>
    <w:rsid w:val="0016483B"/>
    <w:rsid w:val="001709F1"/>
    <w:rsid w:val="001773CE"/>
    <w:rsid w:val="0018080C"/>
    <w:rsid w:val="001830FC"/>
    <w:rsid w:val="001A3286"/>
    <w:rsid w:val="001D36CC"/>
    <w:rsid w:val="001E157C"/>
    <w:rsid w:val="001E4019"/>
    <w:rsid w:val="00214B9E"/>
    <w:rsid w:val="00215481"/>
    <w:rsid w:val="00220E7A"/>
    <w:rsid w:val="0023329C"/>
    <w:rsid w:val="0023514F"/>
    <w:rsid w:val="0024589A"/>
    <w:rsid w:val="00245DFB"/>
    <w:rsid w:val="002524F4"/>
    <w:rsid w:val="00261F49"/>
    <w:rsid w:val="002630DF"/>
    <w:rsid w:val="0026562B"/>
    <w:rsid w:val="00265659"/>
    <w:rsid w:val="00266F8D"/>
    <w:rsid w:val="0028636E"/>
    <w:rsid w:val="002901FA"/>
    <w:rsid w:val="00294094"/>
    <w:rsid w:val="002A685F"/>
    <w:rsid w:val="002B3796"/>
    <w:rsid w:val="002C22F8"/>
    <w:rsid w:val="002C710A"/>
    <w:rsid w:val="002D2AA1"/>
    <w:rsid w:val="002E7B67"/>
    <w:rsid w:val="002F3910"/>
    <w:rsid w:val="003059D5"/>
    <w:rsid w:val="00314DAA"/>
    <w:rsid w:val="0032045D"/>
    <w:rsid w:val="00324792"/>
    <w:rsid w:val="003253FA"/>
    <w:rsid w:val="003415EA"/>
    <w:rsid w:val="00347A75"/>
    <w:rsid w:val="00347BF5"/>
    <w:rsid w:val="00360433"/>
    <w:rsid w:val="00372235"/>
    <w:rsid w:val="00376784"/>
    <w:rsid w:val="003809D9"/>
    <w:rsid w:val="00385B84"/>
    <w:rsid w:val="00391BFD"/>
    <w:rsid w:val="003A2FD9"/>
    <w:rsid w:val="003B1820"/>
    <w:rsid w:val="003B3A92"/>
    <w:rsid w:val="003C5B03"/>
    <w:rsid w:val="003E792E"/>
    <w:rsid w:val="00406CF7"/>
    <w:rsid w:val="00421F4F"/>
    <w:rsid w:val="00422209"/>
    <w:rsid w:val="004279F0"/>
    <w:rsid w:val="00431266"/>
    <w:rsid w:val="004322F3"/>
    <w:rsid w:val="00442A80"/>
    <w:rsid w:val="00466098"/>
    <w:rsid w:val="00472FD1"/>
    <w:rsid w:val="00485694"/>
    <w:rsid w:val="004A630D"/>
    <w:rsid w:val="004B51E4"/>
    <w:rsid w:val="004B58DF"/>
    <w:rsid w:val="004C1461"/>
    <w:rsid w:val="004C2C14"/>
    <w:rsid w:val="004D1941"/>
    <w:rsid w:val="004D7EE1"/>
    <w:rsid w:val="004E6C2B"/>
    <w:rsid w:val="004E79D8"/>
    <w:rsid w:val="004F4C99"/>
    <w:rsid w:val="005077BD"/>
    <w:rsid w:val="00513E04"/>
    <w:rsid w:val="00546A8B"/>
    <w:rsid w:val="00551E21"/>
    <w:rsid w:val="00563C08"/>
    <w:rsid w:val="00570E78"/>
    <w:rsid w:val="005803C1"/>
    <w:rsid w:val="005855EC"/>
    <w:rsid w:val="00590DEE"/>
    <w:rsid w:val="00592DA2"/>
    <w:rsid w:val="005B3D4D"/>
    <w:rsid w:val="005B4F62"/>
    <w:rsid w:val="005C21C4"/>
    <w:rsid w:val="005D08FC"/>
    <w:rsid w:val="005D7FF0"/>
    <w:rsid w:val="005E40C5"/>
    <w:rsid w:val="005F0168"/>
    <w:rsid w:val="005F090C"/>
    <w:rsid w:val="005F1451"/>
    <w:rsid w:val="005F1C45"/>
    <w:rsid w:val="005F3495"/>
    <w:rsid w:val="005F4845"/>
    <w:rsid w:val="005F575C"/>
    <w:rsid w:val="0060099A"/>
    <w:rsid w:val="0060462A"/>
    <w:rsid w:val="0061608C"/>
    <w:rsid w:val="006258F8"/>
    <w:rsid w:val="006305D9"/>
    <w:rsid w:val="00633AB0"/>
    <w:rsid w:val="00636A9E"/>
    <w:rsid w:val="006603BE"/>
    <w:rsid w:val="006637E9"/>
    <w:rsid w:val="006834E7"/>
    <w:rsid w:val="006A412F"/>
    <w:rsid w:val="006C0706"/>
    <w:rsid w:val="006C1234"/>
    <w:rsid w:val="006C1846"/>
    <w:rsid w:val="006D6413"/>
    <w:rsid w:val="006D7302"/>
    <w:rsid w:val="006E39AD"/>
    <w:rsid w:val="006E3D04"/>
    <w:rsid w:val="006F037A"/>
    <w:rsid w:val="006F3686"/>
    <w:rsid w:val="00701E44"/>
    <w:rsid w:val="007049AE"/>
    <w:rsid w:val="00724C62"/>
    <w:rsid w:val="0073772C"/>
    <w:rsid w:val="00747D1E"/>
    <w:rsid w:val="007560E0"/>
    <w:rsid w:val="007610D5"/>
    <w:rsid w:val="00761FF5"/>
    <w:rsid w:val="0076256D"/>
    <w:rsid w:val="00765F70"/>
    <w:rsid w:val="007701D6"/>
    <w:rsid w:val="00773F9A"/>
    <w:rsid w:val="007934EB"/>
    <w:rsid w:val="00793524"/>
    <w:rsid w:val="00797409"/>
    <w:rsid w:val="007A065D"/>
    <w:rsid w:val="007B29B7"/>
    <w:rsid w:val="007B448A"/>
    <w:rsid w:val="007C0CC5"/>
    <w:rsid w:val="007C452B"/>
    <w:rsid w:val="007D176C"/>
    <w:rsid w:val="007D43E6"/>
    <w:rsid w:val="007D494A"/>
    <w:rsid w:val="007D6129"/>
    <w:rsid w:val="007D6F7B"/>
    <w:rsid w:val="007E43F3"/>
    <w:rsid w:val="007E4AF8"/>
    <w:rsid w:val="007F0BE0"/>
    <w:rsid w:val="007F4E26"/>
    <w:rsid w:val="007F6CD6"/>
    <w:rsid w:val="00800A51"/>
    <w:rsid w:val="00800A89"/>
    <w:rsid w:val="00802134"/>
    <w:rsid w:val="00810102"/>
    <w:rsid w:val="00837608"/>
    <w:rsid w:val="0085262C"/>
    <w:rsid w:val="00865EEC"/>
    <w:rsid w:val="00866ACB"/>
    <w:rsid w:val="00874499"/>
    <w:rsid w:val="00874A2E"/>
    <w:rsid w:val="00874B67"/>
    <w:rsid w:val="00881528"/>
    <w:rsid w:val="00892009"/>
    <w:rsid w:val="00892852"/>
    <w:rsid w:val="008B01BC"/>
    <w:rsid w:val="008B12F8"/>
    <w:rsid w:val="008B5505"/>
    <w:rsid w:val="008C6439"/>
    <w:rsid w:val="008C6588"/>
    <w:rsid w:val="008E1FE1"/>
    <w:rsid w:val="008F6E68"/>
    <w:rsid w:val="008F7E8E"/>
    <w:rsid w:val="0092307A"/>
    <w:rsid w:val="0093513B"/>
    <w:rsid w:val="009458D0"/>
    <w:rsid w:val="009537AB"/>
    <w:rsid w:val="00963437"/>
    <w:rsid w:val="00981C06"/>
    <w:rsid w:val="00984132"/>
    <w:rsid w:val="00986CFC"/>
    <w:rsid w:val="00992B91"/>
    <w:rsid w:val="00997879"/>
    <w:rsid w:val="009A0670"/>
    <w:rsid w:val="009D2D42"/>
    <w:rsid w:val="009E16BC"/>
    <w:rsid w:val="009E2839"/>
    <w:rsid w:val="009F7056"/>
    <w:rsid w:val="00A004B0"/>
    <w:rsid w:val="00A10083"/>
    <w:rsid w:val="00A462D7"/>
    <w:rsid w:val="00A74AB3"/>
    <w:rsid w:val="00A75AE2"/>
    <w:rsid w:val="00A8458C"/>
    <w:rsid w:val="00A86BB2"/>
    <w:rsid w:val="00A8741E"/>
    <w:rsid w:val="00A903E8"/>
    <w:rsid w:val="00A92AA5"/>
    <w:rsid w:val="00AA15D1"/>
    <w:rsid w:val="00AA3F61"/>
    <w:rsid w:val="00AB6040"/>
    <w:rsid w:val="00AF5F1A"/>
    <w:rsid w:val="00B07C88"/>
    <w:rsid w:val="00B13ECD"/>
    <w:rsid w:val="00B17DC5"/>
    <w:rsid w:val="00B22A1A"/>
    <w:rsid w:val="00B24BB4"/>
    <w:rsid w:val="00B2757D"/>
    <w:rsid w:val="00B338A4"/>
    <w:rsid w:val="00B36F4D"/>
    <w:rsid w:val="00B45761"/>
    <w:rsid w:val="00B53B0B"/>
    <w:rsid w:val="00B6612F"/>
    <w:rsid w:val="00B67316"/>
    <w:rsid w:val="00B8379F"/>
    <w:rsid w:val="00B914D3"/>
    <w:rsid w:val="00B95853"/>
    <w:rsid w:val="00B964C0"/>
    <w:rsid w:val="00BA1AB0"/>
    <w:rsid w:val="00BA485D"/>
    <w:rsid w:val="00BA4AF1"/>
    <w:rsid w:val="00BA65E9"/>
    <w:rsid w:val="00BC1E0A"/>
    <w:rsid w:val="00BC2C06"/>
    <w:rsid w:val="00BE5033"/>
    <w:rsid w:val="00BF1FAF"/>
    <w:rsid w:val="00BF3D9F"/>
    <w:rsid w:val="00BF7BC7"/>
    <w:rsid w:val="00C074C2"/>
    <w:rsid w:val="00C128BD"/>
    <w:rsid w:val="00C1771F"/>
    <w:rsid w:val="00C242DF"/>
    <w:rsid w:val="00C51013"/>
    <w:rsid w:val="00C65A41"/>
    <w:rsid w:val="00C66D7D"/>
    <w:rsid w:val="00C74403"/>
    <w:rsid w:val="00C75FB8"/>
    <w:rsid w:val="00C77AE1"/>
    <w:rsid w:val="00C857E6"/>
    <w:rsid w:val="00CA3C9F"/>
    <w:rsid w:val="00CC1DD6"/>
    <w:rsid w:val="00CC4DDC"/>
    <w:rsid w:val="00CC7089"/>
    <w:rsid w:val="00CD00D1"/>
    <w:rsid w:val="00CD0D76"/>
    <w:rsid w:val="00CD1B40"/>
    <w:rsid w:val="00CD7BDD"/>
    <w:rsid w:val="00CF0B8C"/>
    <w:rsid w:val="00CF5B6E"/>
    <w:rsid w:val="00D007F3"/>
    <w:rsid w:val="00D04273"/>
    <w:rsid w:val="00D046A0"/>
    <w:rsid w:val="00D066CD"/>
    <w:rsid w:val="00D3047F"/>
    <w:rsid w:val="00D30FAB"/>
    <w:rsid w:val="00D40A03"/>
    <w:rsid w:val="00D44E14"/>
    <w:rsid w:val="00D8126A"/>
    <w:rsid w:val="00D82E92"/>
    <w:rsid w:val="00D85D2D"/>
    <w:rsid w:val="00D937E6"/>
    <w:rsid w:val="00D94C04"/>
    <w:rsid w:val="00D96153"/>
    <w:rsid w:val="00DA0073"/>
    <w:rsid w:val="00DA3160"/>
    <w:rsid w:val="00DA57A5"/>
    <w:rsid w:val="00DA645E"/>
    <w:rsid w:val="00DB06B5"/>
    <w:rsid w:val="00DB120E"/>
    <w:rsid w:val="00DC0B9F"/>
    <w:rsid w:val="00DD030C"/>
    <w:rsid w:val="00DD33D3"/>
    <w:rsid w:val="00DE523E"/>
    <w:rsid w:val="00DE6EBA"/>
    <w:rsid w:val="00DF0527"/>
    <w:rsid w:val="00E130B3"/>
    <w:rsid w:val="00E17089"/>
    <w:rsid w:val="00E266E3"/>
    <w:rsid w:val="00E36F30"/>
    <w:rsid w:val="00E52D9B"/>
    <w:rsid w:val="00E75F1D"/>
    <w:rsid w:val="00E778A1"/>
    <w:rsid w:val="00E83377"/>
    <w:rsid w:val="00E840FE"/>
    <w:rsid w:val="00E85C9F"/>
    <w:rsid w:val="00E9096E"/>
    <w:rsid w:val="00E95C88"/>
    <w:rsid w:val="00E96896"/>
    <w:rsid w:val="00EA1A4B"/>
    <w:rsid w:val="00EC23B7"/>
    <w:rsid w:val="00ED0371"/>
    <w:rsid w:val="00EF1954"/>
    <w:rsid w:val="00EF611B"/>
    <w:rsid w:val="00F00086"/>
    <w:rsid w:val="00F06BFC"/>
    <w:rsid w:val="00F115C2"/>
    <w:rsid w:val="00F209F0"/>
    <w:rsid w:val="00F22435"/>
    <w:rsid w:val="00F32DCC"/>
    <w:rsid w:val="00F36A4A"/>
    <w:rsid w:val="00F51B6F"/>
    <w:rsid w:val="00F5436C"/>
    <w:rsid w:val="00F55CC9"/>
    <w:rsid w:val="00F669C3"/>
    <w:rsid w:val="00F70211"/>
    <w:rsid w:val="00F72FEC"/>
    <w:rsid w:val="00F770EB"/>
    <w:rsid w:val="00F80D26"/>
    <w:rsid w:val="00F90EDD"/>
    <w:rsid w:val="00F96557"/>
    <w:rsid w:val="00FA595B"/>
    <w:rsid w:val="00FB1A6A"/>
    <w:rsid w:val="00FD0818"/>
    <w:rsid w:val="00FD19B1"/>
    <w:rsid w:val="00FD3F60"/>
    <w:rsid w:val="01BF7AD6"/>
    <w:rsid w:val="02724F58"/>
    <w:rsid w:val="02B10AFF"/>
    <w:rsid w:val="031823AF"/>
    <w:rsid w:val="033B539D"/>
    <w:rsid w:val="03483CDF"/>
    <w:rsid w:val="036618F2"/>
    <w:rsid w:val="03BD48F8"/>
    <w:rsid w:val="04B847E8"/>
    <w:rsid w:val="06930008"/>
    <w:rsid w:val="06E17D3B"/>
    <w:rsid w:val="0795705F"/>
    <w:rsid w:val="07F627CE"/>
    <w:rsid w:val="080954B4"/>
    <w:rsid w:val="080A2890"/>
    <w:rsid w:val="083A2B28"/>
    <w:rsid w:val="08F079E9"/>
    <w:rsid w:val="08F71891"/>
    <w:rsid w:val="0978234A"/>
    <w:rsid w:val="098D1795"/>
    <w:rsid w:val="0ABE0E3E"/>
    <w:rsid w:val="0AD57AE6"/>
    <w:rsid w:val="0AE9077B"/>
    <w:rsid w:val="0B09160F"/>
    <w:rsid w:val="0B212398"/>
    <w:rsid w:val="0B36617C"/>
    <w:rsid w:val="0C017674"/>
    <w:rsid w:val="0C083708"/>
    <w:rsid w:val="0C565642"/>
    <w:rsid w:val="0D0F42DB"/>
    <w:rsid w:val="0D1941BB"/>
    <w:rsid w:val="0E726E67"/>
    <w:rsid w:val="0E891F9D"/>
    <w:rsid w:val="0F0D466B"/>
    <w:rsid w:val="0F3C3954"/>
    <w:rsid w:val="0F915CCA"/>
    <w:rsid w:val="0FA217FF"/>
    <w:rsid w:val="0FB44F19"/>
    <w:rsid w:val="10B011A1"/>
    <w:rsid w:val="114454B3"/>
    <w:rsid w:val="123B3FC0"/>
    <w:rsid w:val="127F2194"/>
    <w:rsid w:val="12AB4107"/>
    <w:rsid w:val="12BB58E4"/>
    <w:rsid w:val="12BC78AF"/>
    <w:rsid w:val="12EF4C3C"/>
    <w:rsid w:val="13270FA4"/>
    <w:rsid w:val="139127E8"/>
    <w:rsid w:val="139D6DA5"/>
    <w:rsid w:val="13A70ABC"/>
    <w:rsid w:val="13E86E87"/>
    <w:rsid w:val="144B046B"/>
    <w:rsid w:val="14DF73CC"/>
    <w:rsid w:val="15DC3154"/>
    <w:rsid w:val="15EA6F16"/>
    <w:rsid w:val="160A6476"/>
    <w:rsid w:val="1681011C"/>
    <w:rsid w:val="16AD21B4"/>
    <w:rsid w:val="16B94FCC"/>
    <w:rsid w:val="170F13A9"/>
    <w:rsid w:val="1785158E"/>
    <w:rsid w:val="17DF2578"/>
    <w:rsid w:val="188522C8"/>
    <w:rsid w:val="18B9375A"/>
    <w:rsid w:val="18E254A4"/>
    <w:rsid w:val="197B7B7C"/>
    <w:rsid w:val="199D787D"/>
    <w:rsid w:val="1B1925B9"/>
    <w:rsid w:val="1B5F4A2C"/>
    <w:rsid w:val="1B67646C"/>
    <w:rsid w:val="1BBA791B"/>
    <w:rsid w:val="1BE17077"/>
    <w:rsid w:val="1C4635EE"/>
    <w:rsid w:val="1CCD70CA"/>
    <w:rsid w:val="1D855F4F"/>
    <w:rsid w:val="1DCF35D7"/>
    <w:rsid w:val="1E334758"/>
    <w:rsid w:val="1E3C0525"/>
    <w:rsid w:val="1E875EC0"/>
    <w:rsid w:val="1E9F643B"/>
    <w:rsid w:val="1ED41ADC"/>
    <w:rsid w:val="1F133AEB"/>
    <w:rsid w:val="1F33623C"/>
    <w:rsid w:val="1F974220"/>
    <w:rsid w:val="20A306C4"/>
    <w:rsid w:val="20AA09C9"/>
    <w:rsid w:val="20FB5A46"/>
    <w:rsid w:val="20FF5A95"/>
    <w:rsid w:val="21023481"/>
    <w:rsid w:val="21F365F6"/>
    <w:rsid w:val="220A266F"/>
    <w:rsid w:val="234B26A8"/>
    <w:rsid w:val="23FC29CA"/>
    <w:rsid w:val="24027467"/>
    <w:rsid w:val="24632CEA"/>
    <w:rsid w:val="24B6003A"/>
    <w:rsid w:val="24F1163A"/>
    <w:rsid w:val="258D2DC6"/>
    <w:rsid w:val="25981C50"/>
    <w:rsid w:val="271B4458"/>
    <w:rsid w:val="271C7DE5"/>
    <w:rsid w:val="274555F8"/>
    <w:rsid w:val="27525074"/>
    <w:rsid w:val="279C4EFD"/>
    <w:rsid w:val="27AA3D03"/>
    <w:rsid w:val="29000195"/>
    <w:rsid w:val="29580475"/>
    <w:rsid w:val="2A5B04FB"/>
    <w:rsid w:val="2A63490F"/>
    <w:rsid w:val="2A7A79DB"/>
    <w:rsid w:val="2ABD3B03"/>
    <w:rsid w:val="2AD465A2"/>
    <w:rsid w:val="2AF76D76"/>
    <w:rsid w:val="2BA12E44"/>
    <w:rsid w:val="2C0F0202"/>
    <w:rsid w:val="2D646DFE"/>
    <w:rsid w:val="2E256383"/>
    <w:rsid w:val="2E3A5DFF"/>
    <w:rsid w:val="2F0F670D"/>
    <w:rsid w:val="2F842BC3"/>
    <w:rsid w:val="2FC34510"/>
    <w:rsid w:val="305756A6"/>
    <w:rsid w:val="31AB0A7B"/>
    <w:rsid w:val="31F41F20"/>
    <w:rsid w:val="31F71B89"/>
    <w:rsid w:val="3225625E"/>
    <w:rsid w:val="32996DDF"/>
    <w:rsid w:val="330364E6"/>
    <w:rsid w:val="33BA709B"/>
    <w:rsid w:val="33BD366A"/>
    <w:rsid w:val="3433042C"/>
    <w:rsid w:val="34392757"/>
    <w:rsid w:val="347B44A6"/>
    <w:rsid w:val="349B5F43"/>
    <w:rsid w:val="34BF01AC"/>
    <w:rsid w:val="34CE4B14"/>
    <w:rsid w:val="34E35944"/>
    <w:rsid w:val="353F6EB7"/>
    <w:rsid w:val="36D55AFF"/>
    <w:rsid w:val="37296A11"/>
    <w:rsid w:val="37761DF7"/>
    <w:rsid w:val="37933355"/>
    <w:rsid w:val="37EF3553"/>
    <w:rsid w:val="37F90122"/>
    <w:rsid w:val="38FF482E"/>
    <w:rsid w:val="396E5E84"/>
    <w:rsid w:val="39A955CA"/>
    <w:rsid w:val="39AF6A56"/>
    <w:rsid w:val="3A3C26FC"/>
    <w:rsid w:val="3A4B06A0"/>
    <w:rsid w:val="3A4E21C9"/>
    <w:rsid w:val="3A8774E0"/>
    <w:rsid w:val="3A8E0DD5"/>
    <w:rsid w:val="3A9A3ECB"/>
    <w:rsid w:val="3AA65801"/>
    <w:rsid w:val="3B4227C3"/>
    <w:rsid w:val="3BA32836"/>
    <w:rsid w:val="3BAE1BDB"/>
    <w:rsid w:val="3C116236"/>
    <w:rsid w:val="3CBB2C8E"/>
    <w:rsid w:val="3CF27053"/>
    <w:rsid w:val="3E4A04F2"/>
    <w:rsid w:val="3F78011A"/>
    <w:rsid w:val="3FBA7A65"/>
    <w:rsid w:val="400E159C"/>
    <w:rsid w:val="40657D71"/>
    <w:rsid w:val="40C41559"/>
    <w:rsid w:val="41962EF5"/>
    <w:rsid w:val="419D0F0C"/>
    <w:rsid w:val="41B217BF"/>
    <w:rsid w:val="421042F4"/>
    <w:rsid w:val="422326EB"/>
    <w:rsid w:val="422B4B18"/>
    <w:rsid w:val="42534BE8"/>
    <w:rsid w:val="42E5341D"/>
    <w:rsid w:val="43FD0FAF"/>
    <w:rsid w:val="44254A04"/>
    <w:rsid w:val="443263C9"/>
    <w:rsid w:val="44523414"/>
    <w:rsid w:val="44F773C6"/>
    <w:rsid w:val="45AE3BCA"/>
    <w:rsid w:val="46117413"/>
    <w:rsid w:val="46C705EA"/>
    <w:rsid w:val="46E20ADC"/>
    <w:rsid w:val="479C5700"/>
    <w:rsid w:val="47AB78C4"/>
    <w:rsid w:val="47F20F27"/>
    <w:rsid w:val="488535FE"/>
    <w:rsid w:val="48CE46D7"/>
    <w:rsid w:val="493F26B9"/>
    <w:rsid w:val="49767C5B"/>
    <w:rsid w:val="49D059CC"/>
    <w:rsid w:val="4A05330E"/>
    <w:rsid w:val="4A474572"/>
    <w:rsid w:val="4A4E3B73"/>
    <w:rsid w:val="4AB821B0"/>
    <w:rsid w:val="4B806792"/>
    <w:rsid w:val="4C5B60F2"/>
    <w:rsid w:val="4CB316FC"/>
    <w:rsid w:val="4CFE5B45"/>
    <w:rsid w:val="4CFF1526"/>
    <w:rsid w:val="4D1A09A3"/>
    <w:rsid w:val="4D1B3CD9"/>
    <w:rsid w:val="4DCE4104"/>
    <w:rsid w:val="4E565B13"/>
    <w:rsid w:val="4E8310F8"/>
    <w:rsid w:val="4EC60B3A"/>
    <w:rsid w:val="4F121EEE"/>
    <w:rsid w:val="4F5D49DC"/>
    <w:rsid w:val="4F6472FD"/>
    <w:rsid w:val="4F8A6494"/>
    <w:rsid w:val="4FB641F6"/>
    <w:rsid w:val="50036C28"/>
    <w:rsid w:val="50263AEA"/>
    <w:rsid w:val="502F219B"/>
    <w:rsid w:val="506123E6"/>
    <w:rsid w:val="50673EE2"/>
    <w:rsid w:val="5084474D"/>
    <w:rsid w:val="50936C35"/>
    <w:rsid w:val="51FC72CD"/>
    <w:rsid w:val="520D0FB1"/>
    <w:rsid w:val="53D16F82"/>
    <w:rsid w:val="554546FC"/>
    <w:rsid w:val="55A82E93"/>
    <w:rsid w:val="55F06DD1"/>
    <w:rsid w:val="56075D18"/>
    <w:rsid w:val="573A032E"/>
    <w:rsid w:val="583A7B93"/>
    <w:rsid w:val="58657D04"/>
    <w:rsid w:val="587A3612"/>
    <w:rsid w:val="58E2723D"/>
    <w:rsid w:val="58F8614E"/>
    <w:rsid w:val="59343F90"/>
    <w:rsid w:val="59C26133"/>
    <w:rsid w:val="59E923DD"/>
    <w:rsid w:val="5A056A12"/>
    <w:rsid w:val="5AAE291F"/>
    <w:rsid w:val="5AF15262"/>
    <w:rsid w:val="5BD94EC8"/>
    <w:rsid w:val="5BFC5BF3"/>
    <w:rsid w:val="5C041771"/>
    <w:rsid w:val="5D114DFB"/>
    <w:rsid w:val="5D7D7440"/>
    <w:rsid w:val="5E397FB4"/>
    <w:rsid w:val="5ED77DF4"/>
    <w:rsid w:val="5EE237C6"/>
    <w:rsid w:val="60591B8F"/>
    <w:rsid w:val="605D7E8C"/>
    <w:rsid w:val="605F4DD2"/>
    <w:rsid w:val="606D3501"/>
    <w:rsid w:val="61376DDA"/>
    <w:rsid w:val="61745292"/>
    <w:rsid w:val="61906BE0"/>
    <w:rsid w:val="61B166B0"/>
    <w:rsid w:val="626C5795"/>
    <w:rsid w:val="62E67F62"/>
    <w:rsid w:val="63747E24"/>
    <w:rsid w:val="63AD0759"/>
    <w:rsid w:val="63C2133D"/>
    <w:rsid w:val="63F3278C"/>
    <w:rsid w:val="63FA7DEB"/>
    <w:rsid w:val="64087159"/>
    <w:rsid w:val="64640CA9"/>
    <w:rsid w:val="646E533D"/>
    <w:rsid w:val="64AB0DEA"/>
    <w:rsid w:val="64F546EB"/>
    <w:rsid w:val="64FD5AFD"/>
    <w:rsid w:val="658B24C1"/>
    <w:rsid w:val="66202C39"/>
    <w:rsid w:val="666524F6"/>
    <w:rsid w:val="66D02156"/>
    <w:rsid w:val="671A6F39"/>
    <w:rsid w:val="6793661B"/>
    <w:rsid w:val="67A21D44"/>
    <w:rsid w:val="68756A48"/>
    <w:rsid w:val="68F65F35"/>
    <w:rsid w:val="69BF098B"/>
    <w:rsid w:val="69E526F6"/>
    <w:rsid w:val="6B612DD3"/>
    <w:rsid w:val="6B84325F"/>
    <w:rsid w:val="6BB9765C"/>
    <w:rsid w:val="6C9B7FF9"/>
    <w:rsid w:val="6CBD0DAA"/>
    <w:rsid w:val="6CEC01D8"/>
    <w:rsid w:val="6DC10006"/>
    <w:rsid w:val="6E222357"/>
    <w:rsid w:val="6E543C85"/>
    <w:rsid w:val="707B303C"/>
    <w:rsid w:val="707B494F"/>
    <w:rsid w:val="709314C4"/>
    <w:rsid w:val="70E96472"/>
    <w:rsid w:val="70EE234C"/>
    <w:rsid w:val="70FB4975"/>
    <w:rsid w:val="71522DA8"/>
    <w:rsid w:val="71756031"/>
    <w:rsid w:val="71BC624E"/>
    <w:rsid w:val="72277783"/>
    <w:rsid w:val="72425DEB"/>
    <w:rsid w:val="725A3947"/>
    <w:rsid w:val="72775331"/>
    <w:rsid w:val="72AE16AD"/>
    <w:rsid w:val="72FB279E"/>
    <w:rsid w:val="73307624"/>
    <w:rsid w:val="73312491"/>
    <w:rsid w:val="73367245"/>
    <w:rsid w:val="734E2D47"/>
    <w:rsid w:val="7385594E"/>
    <w:rsid w:val="74C34F17"/>
    <w:rsid w:val="75126883"/>
    <w:rsid w:val="757A405D"/>
    <w:rsid w:val="760942E9"/>
    <w:rsid w:val="76314F8E"/>
    <w:rsid w:val="771576B7"/>
    <w:rsid w:val="77597F8D"/>
    <w:rsid w:val="779F1FB4"/>
    <w:rsid w:val="78AC65C4"/>
    <w:rsid w:val="78B813C8"/>
    <w:rsid w:val="79667543"/>
    <w:rsid w:val="79713186"/>
    <w:rsid w:val="798B2715"/>
    <w:rsid w:val="79CD0A94"/>
    <w:rsid w:val="79E24F24"/>
    <w:rsid w:val="7B66335D"/>
    <w:rsid w:val="7B896F80"/>
    <w:rsid w:val="7C867AF4"/>
    <w:rsid w:val="7CB57377"/>
    <w:rsid w:val="7D543589"/>
    <w:rsid w:val="7DE93DD1"/>
    <w:rsid w:val="7E9628D7"/>
    <w:rsid w:val="7EFEC595"/>
    <w:rsid w:val="7F454A47"/>
    <w:rsid w:val="7F6A0F42"/>
    <w:rsid w:val="7FBD72C3"/>
    <w:rsid w:val="7FC56EA6"/>
    <w:rsid w:val="BA7B23C6"/>
    <w:rsid w:val="BFFBB24B"/>
    <w:rsid w:val="ED6C8D7D"/>
    <w:rsid w:val="FE5B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Date"/>
    <w:basedOn w:val="1"/>
    <w:next w:val="1"/>
    <w:link w:val="26"/>
    <w:unhideWhenUsed/>
    <w:qFormat/>
    <w:uiPriority w:val="99"/>
    <w:pPr>
      <w:ind w:left="100" w:leftChars="2500"/>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numPr>
        <w:ilvl w:val="0"/>
        <w:numId w:val="1"/>
      </w:numPr>
      <w:spacing w:line="560" w:lineRule="exact"/>
      <w:jc w:val="left"/>
      <w:outlineLvl w:val="0"/>
    </w:pPr>
    <w:rPr>
      <w:rFonts w:ascii="仿宋_GB2312" w:hAnsi="新宋体" w:eastAsia="仿宋_GB2312" w:cs="Calibri"/>
      <w:b/>
      <w:bCs/>
      <w:caps/>
      <w:sz w:val="30"/>
      <w:szCs w:val="28"/>
    </w:rPr>
  </w:style>
  <w:style w:type="paragraph" w:styleId="10">
    <w:name w:val="toc 2"/>
    <w:basedOn w:val="1"/>
    <w:next w:val="1"/>
    <w:qFormat/>
    <w:uiPriority w:val="39"/>
    <w:pPr>
      <w:numPr>
        <w:ilvl w:val="0"/>
        <w:numId w:val="2"/>
      </w:numPr>
      <w:spacing w:line="560" w:lineRule="exact"/>
      <w:jc w:val="left"/>
      <w:outlineLvl w:val="1"/>
    </w:pPr>
    <w:rPr>
      <w:rFonts w:ascii="仿宋_GB2312" w:hAnsi="Calibri" w:eastAsia="仿宋_GB2312" w:cs="Calibri"/>
      <w:b/>
      <w:smallCaps/>
      <w:sz w:val="28"/>
      <w:szCs w:val="2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2 字符"/>
    <w:basedOn w:val="13"/>
    <w:link w:val="3"/>
    <w:semiHidden/>
    <w:qFormat/>
    <w:uiPriority w:val="9"/>
    <w:rPr>
      <w:rFonts w:asciiTheme="majorHAnsi" w:hAnsiTheme="majorHAnsi" w:eastAsiaTheme="majorEastAsia" w:cstheme="majorBidi"/>
      <w:b/>
      <w:bCs/>
      <w:sz w:val="32"/>
      <w:szCs w:val="32"/>
    </w:rPr>
  </w:style>
  <w:style w:type="paragraph" w:customStyle="1" w:styleId="16">
    <w:name w:val="我的摘要"/>
    <w:basedOn w:val="1"/>
    <w:link w:val="17"/>
    <w:qFormat/>
    <w:uiPriority w:val="0"/>
    <w:pPr>
      <w:ind w:left="420" w:hanging="420"/>
      <w:jc w:val="center"/>
      <w:outlineLvl w:val="0"/>
    </w:pPr>
    <w:rPr>
      <w:b/>
      <w:sz w:val="30"/>
      <w:szCs w:val="24"/>
    </w:rPr>
  </w:style>
  <w:style w:type="character" w:customStyle="1" w:styleId="17">
    <w:name w:val="我的摘要 字符"/>
    <w:basedOn w:val="13"/>
    <w:link w:val="16"/>
    <w:qFormat/>
    <w:uiPriority w:val="0"/>
    <w:rPr>
      <w:b/>
      <w:sz w:val="30"/>
      <w:szCs w:val="24"/>
    </w:r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paragraph" w:customStyle="1" w:styleId="20">
    <w:name w:val="列表段落1"/>
    <w:basedOn w:val="1"/>
    <w:qFormat/>
    <w:uiPriority w:val="34"/>
    <w:pPr>
      <w:ind w:firstLine="420" w:firstLineChars="200"/>
    </w:p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26">
    <w:name w:val="日期 字符"/>
    <w:basedOn w:val="13"/>
    <w:link w:val="6"/>
    <w:semiHidden/>
    <w:qFormat/>
    <w:uiPriority w:val="99"/>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3830</Words>
  <Characters>4244</Characters>
  <Lines>65</Lines>
  <Paragraphs>18</Paragraphs>
  <TotalTime>2</TotalTime>
  <ScaleCrop>false</ScaleCrop>
  <LinksUpToDate>false</LinksUpToDate>
  <CharactersWithSpaces>4246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2022-05-06T00:38:00Z</dcterms:created>
  <dc:creator>Jin Cha</dc:creator>
  <cp:lastModifiedBy>user</cp:lastModifiedBy>
  <cp:lastPrinted>2024-03-19T12:09:00Z</cp:lastPrinted>
  <dcterms:modified xsi:type="dcterms:W3CDTF">2024-04-15T15:01:54Z</dcterms:modified>
  <dc:title>上海市农业农村委员会关于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BF9081C289A34F939A7E0DE0DE679C8F_13</vt:lpwstr>
  </property>
</Properties>
</file>