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jc w:val="center"/>
        <w:textAlignment w:val="auto"/>
        <w:outlineLvl w:val="9"/>
        <w:rPr>
          <w:rFonts w:hint="eastAsia" w:hAnsi="华文中宋" w:eastAsia="华文中宋"/>
          <w:b/>
          <w:sz w:val="36"/>
          <w:szCs w:val="36"/>
          <w:lang w:eastAsia="zh-CN"/>
        </w:rPr>
      </w:pPr>
      <w:bookmarkStart w:id="0" w:name="_GoBack"/>
      <w:r>
        <w:rPr>
          <w:rFonts w:hint="eastAsia" w:hAnsi="华文中宋" w:eastAsia="华文中宋" w:cs="Times New Roman"/>
          <w:b/>
          <w:sz w:val="36"/>
          <w:szCs w:val="36"/>
          <w:lang w:val="en-US" w:eastAsia="zh-CN"/>
        </w:rPr>
        <w:t>上</w:t>
      </w:r>
      <w:r>
        <w:rPr>
          <w:rFonts w:hint="eastAsia" w:hAnsi="华文中宋" w:eastAsia="华文中宋"/>
          <w:b/>
          <w:sz w:val="36"/>
          <w:szCs w:val="36"/>
        </w:rPr>
        <w:t>海市公共资源交易平台</w:t>
      </w:r>
      <w:r>
        <w:rPr>
          <w:rFonts w:hint="eastAsia" w:hAnsi="华文中宋" w:eastAsia="华文中宋"/>
          <w:b/>
          <w:sz w:val="36"/>
          <w:szCs w:val="36"/>
          <w:lang w:eastAsia="zh-CN"/>
        </w:rPr>
        <w:t>目录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525"/>
        <w:gridCol w:w="3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</w:t>
            </w:r>
            <w:r>
              <w:rPr>
                <w:rFonts w:hAnsi="仿宋_GB2312" w:eastAsia="仿宋_GB2312"/>
                <w:color w:val="000000"/>
                <w:sz w:val="28"/>
                <w:szCs w:val="28"/>
              </w:rPr>
              <w:t>建设工程</w:t>
            </w: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招投标分平台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市住房城乡建设管理委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</w:t>
            </w:r>
            <w:r>
              <w:rPr>
                <w:rFonts w:hAnsi="仿宋_GB2312" w:eastAsia="仿宋_GB2312"/>
                <w:color w:val="000000"/>
                <w:sz w:val="28"/>
                <w:szCs w:val="28"/>
              </w:rPr>
              <w:t>土地交易</w:t>
            </w: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市规划资源局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</w:t>
            </w:r>
            <w:r>
              <w:rPr>
                <w:rFonts w:hAnsi="仿宋_GB2312" w:eastAsia="仿宋_GB2312"/>
                <w:color w:val="000000"/>
                <w:sz w:val="28"/>
                <w:szCs w:val="28"/>
              </w:rPr>
              <w:t>政府采购</w:t>
            </w: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上海市公共资源交易平台国有产权交易分平台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上海市公共资源交易平台机电设备招投标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市经济信息化委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</w:t>
            </w:r>
            <w:r>
              <w:rPr>
                <w:rFonts w:hAnsi="仿宋_GB2312" w:eastAsia="仿宋_GB2312"/>
                <w:color w:val="000000"/>
                <w:sz w:val="28"/>
                <w:szCs w:val="28"/>
              </w:rPr>
              <w:t>技术交易</w:t>
            </w: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碳排放</w:t>
            </w:r>
            <w:r>
              <w:rPr>
                <w:rFonts w:hAnsi="仿宋_GB2312" w:eastAsia="仿宋_GB2312"/>
                <w:color w:val="000000"/>
                <w:sz w:val="28"/>
                <w:szCs w:val="28"/>
              </w:rPr>
              <w:t>交易</w:t>
            </w: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</w:t>
            </w:r>
            <w:r>
              <w:rPr>
                <w:rFonts w:hAnsi="仿宋_GB2312" w:eastAsia="仿宋_GB2312"/>
                <w:color w:val="000000"/>
                <w:sz w:val="28"/>
                <w:szCs w:val="28"/>
              </w:rPr>
              <w:t>农业要素交易</w:t>
            </w: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上海市公共资源交易平台</w:t>
            </w:r>
            <w:r>
              <w:rPr>
                <w:rFonts w:hAnsi="仿宋_GB2312" w:eastAsia="仿宋_GB2312"/>
                <w:color w:val="000000"/>
                <w:sz w:val="28"/>
                <w:szCs w:val="28"/>
              </w:rPr>
              <w:t>农村产权交易</w:t>
            </w: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dxa"/>
            <w:noWrap w:val="0"/>
            <w:vAlign w:val="top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9525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上海市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公共资源交易平台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司法</w:t>
            </w:r>
            <w:r>
              <w:rPr>
                <w:rFonts w:hAnsi="仿宋_GB2312" w:eastAsia="仿宋_GB2312"/>
                <w:color w:val="000000"/>
                <w:sz w:val="28"/>
                <w:szCs w:val="28"/>
              </w:rPr>
              <w:t>拍卖</w:t>
            </w:r>
            <w:r>
              <w:rPr>
                <w:rFonts w:hint="eastAsia" w:hAnsi="仿宋_GB2312" w:eastAsia="仿宋_GB2312"/>
                <w:color w:val="000000"/>
                <w:sz w:val="28"/>
                <w:szCs w:val="28"/>
                <w:lang w:eastAsia="zh-CN"/>
              </w:rPr>
              <w:t>分平台</w:t>
            </w:r>
          </w:p>
        </w:tc>
        <w:tc>
          <w:tcPr>
            <w:tcW w:w="3501" w:type="dxa"/>
            <w:noWrap w:val="0"/>
            <w:vAlign w:val="top"/>
          </w:tcPr>
          <w:p>
            <w:pPr>
              <w:spacing w:line="540" w:lineRule="exact"/>
              <w:outlineLvl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市商务委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4EDE"/>
    <w:rsid w:val="2287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2021-01-08T07:20:00Z</dcterms:created>
  <dc:creator>国贸周润发</dc:creator>
  <cp:lastModifiedBy>国贸周润发</cp:lastModifiedBy>
  <dcterms:modified xsi:type="dcterms:W3CDTF">2021-01-08T07:20:40Z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