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Toc16332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八、支持工业企业加快升级发展的实施细则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对2023年首次成为规模以上工业企业以及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工业总产值首次突破一定规模的重点企业给予奖励。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宝山区规模以上工业企业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支持龙头企业升级扩容，对2023年首次成为规模以上工业企业，给予一次性奖励5万元；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工业总产值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</w:rPr>
        <w:t>首次突破5000万元、1亿元、2亿元、3亿元的重点企业分别给予20万元、30万元、40万元、50万元一次性奖励；每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年净增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</w:rPr>
        <w:t>亿元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及以上，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</w:rPr>
        <w:t>给予一次性奖励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</w:rPr>
        <w:t>0万元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；净增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3亿元及以上，给予奖励50万元，净增6亿元及以上，给予奖励100万元。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已申报通过《宝山区加快经济恢复重振 加快推进北转型实施方案》第17条“鼓励工业企业复工达产扩大规模”政策的企业不重复申报。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宝山区助行业强主体稳增长政策资金申请表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项目申报采取全程网办方式。企业在申报期内进行网上自主申报。区经委通过审核，对申报材料不符合要求或缺少相关内容的，将予以退回或要求申报企业在限定时间内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申报网址：登陆一网通办宝山频道点击宝你惠政策直通车，在“产业做优做强”栏目中选择鼓励企业做大做强条目（编号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III-3-1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）进行申报。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项目经网上初审后，由区经委按照一般程序开展审核。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受理单位：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宝山区经济委员会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刘老师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66786231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宝山区友谊支路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175号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liuyichen@baoshan.sh.cn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jU2MGFlNzJmY2Q4OWQ0ZjIwOGI2N2JmZTMxZWQifQ=="/>
  </w:docVars>
  <w:rsids>
    <w:rsidRoot w:val="6BA167AB"/>
    <w:rsid w:val="409802D4"/>
    <w:rsid w:val="6BA1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598</Characters>
  <Lines>0</Lines>
  <Paragraphs>0</Paragraphs>
  <TotalTime>0</TotalTime>
  <ScaleCrop>false</ScaleCrop>
  <LinksUpToDate>false</LinksUpToDate>
  <CharactersWithSpaces>599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2022-11-25T14:23:00Z</dcterms:created>
  <dc:creator>丁丁</dc:creator>
  <cp:lastModifiedBy>丁丁</cp:lastModifiedBy>
  <dcterms:modified xsi:type="dcterms:W3CDTF">2022-11-26T01:19:44Z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FBC88AAC942143EBA022D60BD518ABBB</vt:lpwstr>
  </property>
</Properties>
</file>