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ascii="黑体" w:eastAsia="黑体"/>
          <w:szCs w:val="32"/>
        </w:rPr>
      </w:pPr>
      <w:bookmarkStart w:id="0" w:name="_GoBack"/>
      <w:bookmarkEnd w:id="0"/>
    </w:p>
    <w:p>
      <w:pPr>
        <w:overflowPunct w:val="0"/>
        <w:adjustRightInd w:val="0"/>
        <w:snapToGrid w:val="0"/>
        <w:spacing w:line="336" w:lineRule="auto"/>
        <w:rPr>
          <w:rFonts w:ascii="黑体" w:eastAsia="黑体"/>
          <w:szCs w:val="32"/>
        </w:rPr>
      </w:pPr>
    </w:p>
    <w:p>
      <w:pPr>
        <w:overflowPunct w:val="0"/>
        <w:adjustRightInd w:val="0"/>
        <w:snapToGrid w:val="0"/>
        <w:spacing w:line="336" w:lineRule="auto"/>
        <w:rPr>
          <w:rFonts w:ascii="黑体" w:eastAsia="黑体"/>
          <w:szCs w:val="32"/>
        </w:rPr>
      </w:pPr>
    </w:p>
    <w:p>
      <w:pPr>
        <w:overflowPunct w:val="0"/>
        <w:adjustRightInd w:val="0"/>
        <w:snapToGrid w:val="0"/>
        <w:spacing w:line="100" w:lineRule="exact"/>
        <w:rPr>
          <w:rFonts w:ascii="黑体" w:eastAsia="黑体"/>
          <w:szCs w:val="32"/>
        </w:rPr>
      </w:pPr>
    </w:p>
    <w:p>
      <w:pPr>
        <w:overflowPunct w:val="0"/>
        <w:adjustRightInd w:val="0"/>
        <w:snapToGrid w:val="0"/>
        <w:ind w:left="-57"/>
        <w:jc w:val="center"/>
        <w:rPr>
          <w:rFonts w:ascii="方正小标宋简体" w:hAnsi="宋体" w:eastAsia="方正小标宋简体"/>
          <w:color w:val="FF0000"/>
          <w:sz w:val="72"/>
          <w:szCs w:val="72"/>
        </w:rPr>
      </w:pPr>
      <w:r>
        <w:rPr>
          <w:rFonts w:hint="eastAsia" w:ascii="方正小标宋简体" w:hAnsi="宋体" w:eastAsia="方正小标宋简体"/>
          <w:color w:val="FF0000"/>
          <w:sz w:val="72"/>
          <w:szCs w:val="72"/>
        </w:rPr>
        <w:t>上海市市场监督管理局文件</w:t>
      </w: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252" w:lineRule="auto"/>
        <w:jc w:val="center"/>
        <w:rPr>
          <w:rFonts w:ascii="黑体" w:eastAsia="黑体"/>
          <w:szCs w:val="32"/>
        </w:rPr>
      </w:pPr>
    </w:p>
    <w:p>
      <w:pPr>
        <w:tabs>
          <w:tab w:val="left" w:pos="790"/>
        </w:tabs>
        <w:overflowPunct w:val="0"/>
        <w:adjustRightInd w:val="0"/>
        <w:snapToGrid w:val="0"/>
        <w:spacing w:line="336" w:lineRule="auto"/>
        <w:jc w:val="center"/>
        <w:rPr>
          <w:szCs w:val="32"/>
        </w:rPr>
      </w:pPr>
      <w:r>
        <w:rPr>
          <w:szCs w:val="30"/>
        </w:rP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SpPr/>
                      <wps:spPr>
                        <a:xfrm>
                          <a:off x="0" y="0"/>
                          <a:ext cx="5615940" cy="0"/>
                        </a:xfrm>
                        <a:prstGeom prst="line">
                          <a:avLst/>
                        </a:prstGeom>
                        <a:ln w="1905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05pt;margin-top:30.4pt;height:0pt;width:442.2pt;z-index:251658240;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IDoLA1AAAAAYB&#10;AAAPAAAAAAAAAAEAIAAAADgAAABkcnMvZG93bnJldi54bWxQSwECFAAUAAAACACHTuJA+imuJNAB&#10;AACRAwAADgAAAAAAAAABACAAAAA5AQAAZHJzL2Uyb0RvYy54bWxQSwUGAAAAAAYABgBZAQAAewUA&#10;AAAA&#10;">
                <v:fill on="f" focussize="0,0"/>
                <v:stroke weight="1.5pt" color="#FF0000" joinstyle="round"/>
                <v:imagedata o:title=""/>
                <o:lock v:ext="edit" aspectratio="f"/>
                <w10:anchorlock/>
              </v:line>
            </w:pict>
          </mc:Fallback>
        </mc:AlternateContent>
      </w:r>
      <w:r>
        <w:rPr>
          <w:rFonts w:hint="eastAsia"/>
          <w:szCs w:val="32"/>
        </w:rPr>
        <w:t>沪市监规范〔202</w:t>
      </w:r>
      <w:r>
        <w:rPr>
          <w:szCs w:val="32"/>
        </w:rPr>
        <w:t>2</w:t>
      </w:r>
      <w:r>
        <w:rPr>
          <w:rFonts w:hint="eastAsia"/>
          <w:szCs w:val="32"/>
        </w:rPr>
        <w:t>〕13号</w:t>
      </w: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336" w:lineRule="auto"/>
        <w:jc w:val="center"/>
        <w:rPr>
          <w:szCs w:val="30"/>
        </w:rPr>
      </w:pP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上海市市场监督管理局关于发布《上海市</w:t>
      </w:r>
    </w:p>
    <w:p>
      <w:pPr>
        <w:tabs>
          <w:tab w:val="left" w:pos="790"/>
        </w:tabs>
        <w:overflowPunct w:val="0"/>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预包装冷藏膳食生产许可审查细则》的通知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rPr>
          <w:rFonts w:hAnsi="宋体"/>
          <w:szCs w:val="30"/>
        </w:rPr>
      </w:pPr>
      <w:r>
        <w:rPr>
          <w:rFonts w:hint="eastAsia" w:hAnsi="宋体"/>
          <w:szCs w:val="30"/>
        </w:rPr>
        <w:t>各区市场监管局，临港新片区市场监管局，市局行政服务中心：</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《上海市预包装冷藏膳食生产许可审查细则》已经2022年6月29日市局局长办公会审议通过，现予发布，自2022年8月18日起施行，请遵照执行。</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特此通知。</w:t>
      </w: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firstLine="624"/>
        <w:rPr>
          <w:rFonts w:hAnsi="宋体"/>
          <w:szCs w:val="30"/>
        </w:rPr>
      </w:pPr>
    </w:p>
    <w:p>
      <w:pPr>
        <w:tabs>
          <w:tab w:val="left" w:pos="790"/>
          <w:tab w:val="left" w:pos="1264"/>
        </w:tabs>
        <w:overflowPunct w:val="0"/>
        <w:adjustRightInd w:val="0"/>
        <w:snapToGrid w:val="0"/>
        <w:spacing w:line="288" w:lineRule="auto"/>
        <w:ind w:right="941" w:firstLine="624"/>
        <w:jc w:val="right"/>
        <w:rPr>
          <w:rFonts w:hAnsi="宋体"/>
          <w:szCs w:val="30"/>
        </w:rPr>
      </w:pPr>
      <w:r>
        <w:rPr>
          <w:rFonts w:hint="eastAsia" w:hAnsi="宋体"/>
          <w:szCs w:val="30"/>
        </w:rPr>
        <w:t>上海市市场监督管理局</w:t>
      </w:r>
    </w:p>
    <w:p>
      <w:pPr>
        <w:tabs>
          <w:tab w:val="left" w:pos="790"/>
          <w:tab w:val="left" w:pos="1264"/>
        </w:tabs>
        <w:overflowPunct w:val="0"/>
        <w:adjustRightInd w:val="0"/>
        <w:snapToGrid w:val="0"/>
        <w:spacing w:line="288" w:lineRule="auto"/>
        <w:ind w:right="1247" w:firstLine="624"/>
        <w:jc w:val="right"/>
        <w:rPr>
          <w:rFonts w:hAnsi="宋体"/>
          <w:szCs w:val="30"/>
        </w:rPr>
      </w:pPr>
      <w:r>
        <w:rPr>
          <w:rFonts w:hint="eastAsia" w:hAnsi="宋体"/>
          <w:szCs w:val="30"/>
        </w:rPr>
        <w:t>2022年7月14日</w:t>
      </w:r>
    </w:p>
    <w:p>
      <w:pPr>
        <w:tabs>
          <w:tab w:val="left" w:pos="790"/>
          <w:tab w:val="left" w:pos="1264"/>
        </w:tabs>
        <w:overflowPunct w:val="0"/>
        <w:adjustRightInd w:val="0"/>
        <w:snapToGrid w:val="0"/>
        <w:spacing w:line="288" w:lineRule="auto"/>
        <w:ind w:firstLine="624"/>
        <w:rPr>
          <w:rFonts w:hAnsi="宋体"/>
          <w:szCs w:val="30"/>
        </w:rPr>
      </w:pPr>
      <w:r>
        <w:rPr>
          <w:rFonts w:hint="eastAsia" w:hAnsi="宋体"/>
          <w:szCs w:val="30"/>
        </w:rPr>
        <w:t>（此件公开发布）</w:t>
      </w: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上海市预包装冷藏膳食生产许可审查细则</w:t>
      </w:r>
    </w:p>
    <w:p>
      <w:pPr>
        <w:tabs>
          <w:tab w:val="left" w:pos="790"/>
          <w:tab w:val="left" w:pos="1264"/>
        </w:tabs>
        <w:overflowPunct w:val="0"/>
        <w:adjustRightInd w:val="0"/>
        <w:snapToGrid w:val="0"/>
        <w:spacing w:line="317" w:lineRule="auto"/>
        <w:ind w:firstLine="624"/>
        <w:rPr>
          <w:rFonts w:hAnsi="宋体"/>
          <w:szCs w:val="30"/>
        </w:rPr>
      </w:pPr>
    </w:p>
    <w:p>
      <w:pPr>
        <w:tabs>
          <w:tab w:val="left" w:pos="790"/>
          <w:tab w:val="left" w:pos="1264"/>
        </w:tabs>
        <w:overflowPunct w:val="0"/>
        <w:adjustRightInd w:val="0"/>
        <w:snapToGrid w:val="0"/>
        <w:spacing w:after="120" w:line="317"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第一章　总　则</w:t>
      </w:r>
    </w:p>
    <w:p>
      <w:pPr>
        <w:tabs>
          <w:tab w:val="left" w:pos="790"/>
          <w:tab w:val="left" w:pos="1264"/>
        </w:tabs>
        <w:overflowPunct w:val="0"/>
        <w:adjustRightInd w:val="0"/>
        <w:snapToGrid w:val="0"/>
        <w:spacing w:line="317" w:lineRule="auto"/>
        <w:ind w:firstLine="624"/>
        <w:rPr>
          <w:rFonts w:hAnsi="宋体"/>
          <w:szCs w:val="30"/>
        </w:rPr>
      </w:pPr>
      <w:r>
        <w:rPr>
          <w:rFonts w:hint="eastAsia" w:ascii="黑体" w:hAnsi="黑体" w:eastAsia="黑体" w:cs="黑体"/>
          <w:szCs w:val="30"/>
        </w:rPr>
        <w:t>第一条</w:t>
      </w:r>
      <w:r>
        <w:rPr>
          <w:rFonts w:hint="eastAsia" w:hAnsi="宋体"/>
          <w:szCs w:val="30"/>
        </w:rPr>
        <w:t>　本细则适用于预包装冷藏膳食生产许可条件审查。</w:t>
      </w:r>
    </w:p>
    <w:p>
      <w:pPr>
        <w:tabs>
          <w:tab w:val="left" w:pos="790"/>
          <w:tab w:val="left" w:pos="1264"/>
        </w:tabs>
        <w:overflowPunct w:val="0"/>
        <w:adjustRightInd w:val="0"/>
        <w:snapToGrid w:val="0"/>
        <w:spacing w:line="317" w:lineRule="auto"/>
        <w:ind w:firstLine="624"/>
        <w:rPr>
          <w:rFonts w:hAnsi="宋体"/>
          <w:szCs w:val="30"/>
        </w:rPr>
      </w:pPr>
      <w:r>
        <w:rPr>
          <w:rFonts w:hint="eastAsia" w:hAnsi="宋体"/>
          <w:szCs w:val="30"/>
        </w:rPr>
        <w:t>细则中所称的预包装冷藏膳食是指以谷物、豆类、薯类、畜禽肉、蛋类、水产品、果蔬、食用菌等中的一种或数种为主要原料（可配以馅料或辅料），热加工后2小时内将膳食中心温度降至10℃以下，或以不需要热加工的、中心温度控制在10℃以下的即食食品为原料，添加或不添加以上热加工降温后的食品，并在该中心温度下包装、贮存、运输、陈列、销售的即食预包装食品。</w:t>
      </w:r>
    </w:p>
    <w:p>
      <w:pPr>
        <w:tabs>
          <w:tab w:val="left" w:pos="790"/>
          <w:tab w:val="left" w:pos="1264"/>
        </w:tabs>
        <w:overflowPunct w:val="0"/>
        <w:adjustRightInd w:val="0"/>
        <w:snapToGrid w:val="0"/>
        <w:spacing w:line="317" w:lineRule="auto"/>
        <w:ind w:firstLine="624"/>
        <w:rPr>
          <w:rFonts w:hAnsi="宋体"/>
          <w:szCs w:val="30"/>
        </w:rPr>
      </w:pPr>
      <w:r>
        <w:rPr>
          <w:rFonts w:hint="eastAsia" w:ascii="黑体" w:hAnsi="黑体" w:eastAsia="黑体" w:cs="黑体"/>
          <w:szCs w:val="30"/>
        </w:rPr>
        <w:t>第二条</w:t>
      </w:r>
      <w:r>
        <w:rPr>
          <w:rFonts w:hint="eastAsia" w:hAnsi="宋体"/>
          <w:szCs w:val="30"/>
        </w:rPr>
        <w:t>　预包装冷藏膳食生产的申证类别为：方便食品，其类别名称为：其他方便食品，类别编号为：0702，品种明细为：主食类：其他[预包装冷藏膳食（主食菜肴类、饭团寿司三明治汉堡类、其他类）]。</w:t>
      </w:r>
    </w:p>
    <w:p>
      <w:pPr>
        <w:tabs>
          <w:tab w:val="left" w:pos="790"/>
          <w:tab w:val="left" w:pos="1264"/>
        </w:tabs>
        <w:overflowPunct w:val="0"/>
        <w:adjustRightInd w:val="0"/>
        <w:snapToGrid w:val="0"/>
        <w:spacing w:line="317" w:lineRule="auto"/>
        <w:ind w:firstLine="624"/>
        <w:rPr>
          <w:rFonts w:hAnsi="宋体"/>
          <w:szCs w:val="30"/>
        </w:rPr>
      </w:pPr>
      <w:r>
        <w:rPr>
          <w:rFonts w:hint="eastAsia" w:ascii="黑体" w:hAnsi="黑体" w:eastAsia="黑体" w:cs="黑体"/>
          <w:szCs w:val="30"/>
        </w:rPr>
        <w:t>第三条</w:t>
      </w:r>
      <w:r>
        <w:rPr>
          <w:rFonts w:hint="eastAsia" w:hAnsi="宋体"/>
          <w:szCs w:val="30"/>
        </w:rPr>
        <w:t>　本类产品不允许分装。本类产品不得生产国家和本市禁止生产以及含生食水产品、生食肉制品等成分的膳食。</w:t>
      </w:r>
    </w:p>
    <w:p>
      <w:pPr>
        <w:tabs>
          <w:tab w:val="left" w:pos="790"/>
          <w:tab w:val="left" w:pos="1264"/>
        </w:tabs>
        <w:overflowPunct w:val="0"/>
        <w:adjustRightInd w:val="0"/>
        <w:snapToGrid w:val="0"/>
        <w:spacing w:line="317" w:lineRule="auto"/>
        <w:ind w:firstLine="624"/>
        <w:rPr>
          <w:rFonts w:hAnsi="宋体"/>
          <w:szCs w:val="30"/>
        </w:rPr>
      </w:pPr>
      <w:r>
        <w:rPr>
          <w:rFonts w:hint="eastAsia" w:ascii="黑体" w:hAnsi="黑体" w:eastAsia="黑体" w:cs="黑体"/>
          <w:szCs w:val="30"/>
        </w:rPr>
        <w:t>第四条</w:t>
      </w:r>
      <w:r>
        <w:rPr>
          <w:rFonts w:hint="eastAsia" w:hAnsi="宋体"/>
          <w:szCs w:val="30"/>
        </w:rPr>
        <w:t>　本细则中引用的文件、标准通过引用成为本细则的内容。凡是引用文件、标准，其最新版本（包括所有的修改单）适用于本细则。</w:t>
      </w:r>
    </w:p>
    <w:p>
      <w:pPr>
        <w:tabs>
          <w:tab w:val="left" w:pos="790"/>
          <w:tab w:val="left" w:pos="1264"/>
        </w:tabs>
        <w:overflowPunct w:val="0"/>
        <w:adjustRightInd w:val="0"/>
        <w:snapToGrid w:val="0"/>
        <w:spacing w:line="317" w:lineRule="auto"/>
        <w:ind w:firstLine="624"/>
        <w:rPr>
          <w:rFonts w:hAnsi="宋体"/>
          <w:szCs w:val="30"/>
        </w:rPr>
      </w:pPr>
    </w:p>
    <w:p>
      <w:pPr>
        <w:tabs>
          <w:tab w:val="left" w:pos="790"/>
          <w:tab w:val="left" w:pos="1264"/>
        </w:tabs>
        <w:overflowPunct w:val="0"/>
        <w:adjustRightInd w:val="0"/>
        <w:snapToGrid w:val="0"/>
        <w:spacing w:after="120" w:line="317"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第二章　生产场所</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第五条</w:t>
      </w:r>
      <w:r>
        <w:rPr>
          <w:rFonts w:hint="eastAsia" w:hAnsi="宋体"/>
          <w:szCs w:val="30"/>
        </w:rPr>
        <w:t>　厂区要求、厂房和车间、库房要求应符合《食品生产许可审查通则》中生产场所相关规定。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第六条</w:t>
      </w:r>
      <w:r>
        <w:rPr>
          <w:rFonts w:hint="eastAsia" w:hAnsi="宋体"/>
          <w:szCs w:val="30"/>
        </w:rPr>
        <w:t>　预包装冷藏膳食生产场所面积应不少于5000平方米，应设置与生产工艺及生产品种、数量相适应的原料贮存、原料加工、半成品贮存、热加工、膳食冷却、膳食包装、成品装箱、成品贮存、食品装卸低温封闭月台、工用具清洗消毒和保洁等生产场所，以及更衣室、检验室等场所。热加工、即食蔬果类原料加工（清洗、切分、消毒、漂洗）、膳食冷却、膳食包装、工用具清洗消毒和保洁等生产场所应为独立隔间，其面积比例应相互协调。</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第七条</w:t>
      </w:r>
      <w:r>
        <w:rPr>
          <w:rFonts w:hint="eastAsia" w:hAnsi="宋体"/>
          <w:szCs w:val="30"/>
        </w:rPr>
        <w:t>　应设独立的包装间，用于膳食包装、拼配等冷加工操作。包装间设计参照医药工业洁净厂房设计标准，洁净级别应不低于D级。</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第八条</w:t>
      </w:r>
      <w:r>
        <w:rPr>
          <w:rFonts w:hint="eastAsia" w:hAnsi="宋体"/>
          <w:szCs w:val="30"/>
        </w:rPr>
        <w:t>　生产场所分为一般作业区、准清洁作业区、清洁作业区，各作业区均应设置在室内，且应相互分隔。</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第九条</w:t>
      </w:r>
      <w:r>
        <w:rPr>
          <w:rFonts w:hint="eastAsia" w:hAnsi="宋体"/>
          <w:szCs w:val="30"/>
        </w:rPr>
        <w:t>　膳食包装间应严格控制环境温度和操作时间：</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（一）操作间环境温度低于5℃的，操作时间不作限制；</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（二）操作间环境温度处于5℃至15℃（含）的，膳食出冷藏库到操作完毕入冷藏库的时间应≤90分钟；</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（三）操作间环境温度处于15℃至21℃（含）的，膳食出冷藏库到操作完毕入冷藏库的时间应≤45分钟；</w:t>
      </w: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（四）操作间环境温度高于21℃的，膳食出冷藏库到操作完毕入冷藏库的时间应≤45分钟，且膳食表面温度应≤15℃。</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第十条</w:t>
      </w:r>
      <w:r>
        <w:rPr>
          <w:rFonts w:hint="eastAsia" w:hAnsi="宋体"/>
          <w:szCs w:val="30"/>
        </w:rPr>
        <w:t>　应设置微生物检验室，洁净室面积不小于4平方米（配备无菌操作台的可适当减小），具备适当的通风和温度调节设施。</w:t>
      </w:r>
    </w:p>
    <w:p>
      <w:pPr>
        <w:tabs>
          <w:tab w:val="left" w:pos="790"/>
          <w:tab w:val="left" w:pos="1264"/>
        </w:tabs>
        <w:overflowPunct w:val="0"/>
        <w:adjustRightInd w:val="0"/>
        <w:snapToGrid w:val="0"/>
        <w:spacing w:line="344" w:lineRule="auto"/>
        <w:ind w:firstLine="624"/>
        <w:rPr>
          <w:rFonts w:hAnsi="宋体"/>
          <w:szCs w:val="30"/>
        </w:rPr>
      </w:pPr>
    </w:p>
    <w:p>
      <w:pPr>
        <w:tabs>
          <w:tab w:val="left" w:pos="790"/>
          <w:tab w:val="left" w:pos="1264"/>
        </w:tabs>
        <w:overflowPunct w:val="0"/>
        <w:adjustRightInd w:val="0"/>
        <w:snapToGrid w:val="0"/>
        <w:spacing w:after="120" w:line="344"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第三章　设备设施</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第十一条</w:t>
      </w:r>
      <w:r>
        <w:rPr>
          <w:rFonts w:hint="eastAsia" w:hAnsi="宋体"/>
          <w:szCs w:val="30"/>
        </w:rPr>
        <w:t>　生产设备，供排水、消毒、废弃物存放、个人卫生、通风、照明、温控、检验等设施应符合《食品生产许可审查通则》中设备设施相关规定。</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第十二条</w:t>
      </w:r>
      <w:r>
        <w:rPr>
          <w:rFonts w:hint="eastAsia" w:hAnsi="宋体"/>
          <w:szCs w:val="30"/>
        </w:rPr>
        <w:t>　应配备与生产品种、数量相适应的冷却间和快速冷却设备。</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第十三条</w:t>
      </w:r>
      <w:r>
        <w:rPr>
          <w:rFonts w:hint="eastAsia" w:hAnsi="宋体"/>
          <w:szCs w:val="30"/>
        </w:rPr>
        <w:t>　洗手设施采用非手动式，配备冷热水设施。</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第十四条</w:t>
      </w:r>
      <w:r>
        <w:rPr>
          <w:rFonts w:hint="eastAsia" w:hAnsi="宋体"/>
          <w:szCs w:val="30"/>
        </w:rPr>
        <w:t>　应配备相应的食品、工器具和设备的清洁设施。</w:t>
      </w:r>
    </w:p>
    <w:p>
      <w:pPr>
        <w:tabs>
          <w:tab w:val="left" w:pos="790"/>
          <w:tab w:val="left" w:pos="1264"/>
        </w:tabs>
        <w:overflowPunct w:val="0"/>
        <w:adjustRightInd w:val="0"/>
        <w:snapToGrid w:val="0"/>
        <w:spacing w:line="344" w:lineRule="auto"/>
        <w:ind w:firstLine="624"/>
        <w:rPr>
          <w:rFonts w:hAnsi="宋体"/>
          <w:szCs w:val="30"/>
        </w:rPr>
      </w:pPr>
      <w:r>
        <w:rPr>
          <w:rFonts w:hint="eastAsia" w:hAnsi="宋体"/>
          <w:szCs w:val="30"/>
        </w:rPr>
        <w:t>应设置畜禽类、水产类、果蔬类原料独立清洗水池。接触即食食品的工用具、容器的清洗消毒水池应专用，与食品原料、清洁用具及接触非即食食品的工具、容器清洗水池分开。即食蔬果类原料清洗消毒设施应保证用水水温不高于5℃，并配备独立的清洗、消毒、漂洗、去除表面水设备。</w:t>
      </w:r>
    </w:p>
    <w:p>
      <w:pPr>
        <w:tabs>
          <w:tab w:val="left" w:pos="790"/>
          <w:tab w:val="left" w:pos="1264"/>
        </w:tabs>
        <w:overflowPunct w:val="0"/>
        <w:adjustRightInd w:val="0"/>
        <w:snapToGrid w:val="0"/>
        <w:spacing w:line="344" w:lineRule="auto"/>
        <w:ind w:firstLine="624"/>
        <w:rPr>
          <w:rFonts w:hAnsi="宋体"/>
          <w:szCs w:val="30"/>
        </w:rPr>
      </w:pPr>
      <w:r>
        <w:rPr>
          <w:rFonts w:hint="eastAsia" w:hAnsi="宋体"/>
          <w:szCs w:val="30"/>
        </w:rPr>
        <w:t>采用自动清洗消毒设备的，设备上应配备温度显示和清洗消毒剂自动添加装置，温度测定装置应定期校验。</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第十五条</w:t>
      </w:r>
      <w:r>
        <w:rPr>
          <w:rFonts w:hint="eastAsia" w:hAnsi="宋体"/>
          <w:szCs w:val="30"/>
        </w:rPr>
        <w:t>　应在热加工场所、包装场所、清洗消毒场所、食品装卸低温封闭月台、冷却等关键生产场所安装监控视频。</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第十六条</w:t>
      </w:r>
      <w:r>
        <w:rPr>
          <w:rFonts w:hint="eastAsia" w:hAnsi="宋体"/>
          <w:szCs w:val="30"/>
        </w:rPr>
        <w:t>　应配备食品中心温度计、环境温度计、余氯消毒测试纸等食品加工环节控制检测设备设施，以及瘦肉精、农药残留、甲醛、亚硝酸盐、煎炸油极性组分等重点食品安全快速检测设备设施，开展食品安全快速检测，鼓励快检检测结果实时电子记录。</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第四章　设备布局与工艺流程</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第十七条</w:t>
      </w:r>
      <w:r>
        <w:rPr>
          <w:rFonts w:hint="eastAsia" w:hAnsi="宋体"/>
          <w:szCs w:val="30"/>
        </w:rPr>
        <w:t>　符合《食品生产许可审查通则》中设备布局和工艺流程相关规定。</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第十八条</w:t>
      </w:r>
      <w:r>
        <w:rPr>
          <w:rFonts w:hint="eastAsia" w:hAnsi="宋体"/>
          <w:szCs w:val="30"/>
        </w:rPr>
        <w:t>　生产加工场所应按照工艺流程合理布局，膳食生产流程应为“生进熟出”的单一流向。生产设备的配备应与产品生产工艺相符，预包装冷藏膳食基本生产工艺和设备见附件1。</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第十九条</w:t>
      </w:r>
      <w:r>
        <w:rPr>
          <w:rFonts w:hint="eastAsia" w:hAnsi="宋体"/>
          <w:szCs w:val="30"/>
        </w:rPr>
        <w:t>　将热加工、快速冷却、膳食包装、成品贮存、运输及销售等设为关键控制点。需要烧熟煮透的食品，加工时食品中心温度应达到70℃以上。应控制食品烧熟后在2小时内将其中心温度快速冷却至10℃以下。预包装冷藏膳食应在不高于10℃的条件下进行贮存、运输和销售。</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第五章　人员管理</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第二十条</w:t>
      </w:r>
      <w:r>
        <w:rPr>
          <w:rFonts w:hint="eastAsia" w:hAnsi="宋体"/>
          <w:szCs w:val="30"/>
        </w:rPr>
        <w:t>　符合《食品生产许可审查通则》中人员管理的相关规定。</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第二十一条</w:t>
      </w:r>
      <w:r>
        <w:rPr>
          <w:rFonts w:hint="eastAsia" w:hAnsi="宋体"/>
          <w:szCs w:val="30"/>
        </w:rPr>
        <w:t>　应设立与生产能力相适应的食品安全管理机构，配备专职食品安全管理人员，判断食品安全潜在风险，采取适当的预防和纠正措施，确保有效管理。</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第二十二条</w:t>
      </w:r>
      <w:r>
        <w:rPr>
          <w:rFonts w:hint="eastAsia" w:hAnsi="宋体"/>
          <w:szCs w:val="30"/>
        </w:rPr>
        <w:t>　应对本单位的从业人员进行上岗前和在岗期间的食品安全知识培训，并建立培训档案。应对食品安全管理人员、关键环节操作人员及其他相关从业人员进行考核。考核不合格的，不得上岗。</w:t>
      </w:r>
    </w:p>
    <w:p>
      <w:pPr>
        <w:tabs>
          <w:tab w:val="left" w:pos="790"/>
          <w:tab w:val="left" w:pos="1264"/>
        </w:tabs>
        <w:overflowPunct w:val="0"/>
        <w:adjustRightInd w:val="0"/>
        <w:snapToGrid w:val="0"/>
        <w:spacing w:line="344" w:lineRule="auto"/>
        <w:ind w:firstLine="624"/>
        <w:rPr>
          <w:rFonts w:hAnsi="宋体"/>
          <w:szCs w:val="30"/>
        </w:rPr>
      </w:pPr>
    </w:p>
    <w:p>
      <w:pPr>
        <w:tabs>
          <w:tab w:val="left" w:pos="790"/>
          <w:tab w:val="left" w:pos="1264"/>
        </w:tabs>
        <w:overflowPunct w:val="0"/>
        <w:adjustRightInd w:val="0"/>
        <w:snapToGrid w:val="0"/>
        <w:spacing w:after="120" w:line="344"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第六章　管理制度</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第二十三条</w:t>
      </w:r>
      <w:r>
        <w:rPr>
          <w:rFonts w:hint="eastAsia" w:hAnsi="宋体"/>
          <w:szCs w:val="30"/>
        </w:rPr>
        <w:t>　符合《食品生产许可审查通则》中管理制度的相关规定。</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第二十四条</w:t>
      </w:r>
      <w:r>
        <w:rPr>
          <w:rFonts w:hint="eastAsia" w:hAnsi="宋体"/>
          <w:szCs w:val="30"/>
        </w:rPr>
        <w:t>　制定供应商食品安全检查评价管理制度。对采购的食品原料、食品添加剂和食品相关产品开展进货查验记录。明确风险收集要求，制定供应商食品安全检查评价规范和检查评价结果处置规定。包装材料在微波加热等特定使用条件下不影响食品的安全。</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第二十五条</w:t>
      </w:r>
      <w:r>
        <w:rPr>
          <w:rFonts w:hint="eastAsia" w:hAnsi="宋体"/>
          <w:szCs w:val="30"/>
        </w:rPr>
        <w:t>　制定冷链运行管理制度，明确日最大生产能力。明确膳食冷却、包装、成品贮存的温度控制和记录要求。明确冷藏、冷冻、冷却设施设备的定期维护要求。明确食品冷藏运输的温度监控和记录要求，运输过程中的温度应实时连续监控，记录时间间隔不宜超过10分钟，委托具备冷藏运输资质的第三方物流运输的，应依法确定双方的权利义务，明确保障食品安全的措施要求，并附书面委托运输协议。预包装冷藏膳食销售方应建立冷藏销售的要求。</w:t>
      </w:r>
    </w:p>
    <w:p>
      <w:pPr>
        <w:tabs>
          <w:tab w:val="left" w:pos="790"/>
          <w:tab w:val="left" w:pos="1264"/>
        </w:tabs>
        <w:overflowPunct w:val="0"/>
        <w:adjustRightInd w:val="0"/>
        <w:snapToGrid w:val="0"/>
        <w:spacing w:line="351" w:lineRule="auto"/>
        <w:ind w:firstLine="624"/>
        <w:rPr>
          <w:rFonts w:hAnsi="宋体"/>
          <w:szCs w:val="30"/>
        </w:rPr>
      </w:pPr>
      <w:r>
        <w:rPr>
          <w:rFonts w:hint="eastAsia" w:ascii="黑体" w:hAnsi="黑体" w:eastAsia="黑体" w:cs="黑体"/>
          <w:szCs w:val="30"/>
        </w:rPr>
        <w:t>第二十六条</w:t>
      </w:r>
      <w:r>
        <w:rPr>
          <w:rFonts w:hint="eastAsia" w:hAnsi="宋体"/>
          <w:szCs w:val="30"/>
        </w:rPr>
        <w:t>　制定生产过程监控管理制度。应结合生产工艺及产品特点制定食品原料、加工环境、加工过程和成品检验监控规范，监控项目、监控指标、监控指标限制和监控频率可参见附件2。对监控发现的问题，应立即采取措施予以纠正，并对发现的问题和处置结果予以记录。</w:t>
      </w:r>
    </w:p>
    <w:p>
      <w:pPr>
        <w:tabs>
          <w:tab w:val="left" w:pos="790"/>
          <w:tab w:val="left" w:pos="1264"/>
        </w:tabs>
        <w:overflowPunct w:val="0"/>
        <w:adjustRightInd w:val="0"/>
        <w:snapToGrid w:val="0"/>
        <w:spacing w:line="351" w:lineRule="auto"/>
        <w:ind w:firstLine="624"/>
        <w:rPr>
          <w:rFonts w:hAnsi="宋体"/>
          <w:szCs w:val="30"/>
        </w:rPr>
      </w:pPr>
      <w:r>
        <w:rPr>
          <w:rFonts w:hint="eastAsia" w:ascii="黑体" w:hAnsi="黑体" w:eastAsia="黑体" w:cs="黑体"/>
          <w:szCs w:val="30"/>
        </w:rPr>
        <w:t>第二十七条</w:t>
      </w:r>
      <w:r>
        <w:rPr>
          <w:rFonts w:hint="eastAsia" w:hAnsi="宋体"/>
          <w:szCs w:val="30"/>
        </w:rPr>
        <w:t>　制定餐厨废弃油脂管理制度。明确将产生的餐厨废弃油脂交由相关部门依法确定的收运单位收运，并与收运单位签订收运合同。收运合同应当明确收运的时间、频次、数量和餐厨废弃油脂收购价格等内容。</w:t>
      </w:r>
    </w:p>
    <w:p>
      <w:pPr>
        <w:tabs>
          <w:tab w:val="left" w:pos="790"/>
          <w:tab w:val="left" w:pos="1264"/>
        </w:tabs>
        <w:overflowPunct w:val="0"/>
        <w:adjustRightInd w:val="0"/>
        <w:snapToGrid w:val="0"/>
        <w:spacing w:line="351" w:lineRule="auto"/>
        <w:ind w:firstLine="624"/>
        <w:rPr>
          <w:rFonts w:hAnsi="宋体"/>
          <w:szCs w:val="30"/>
        </w:rPr>
      </w:pPr>
      <w:r>
        <w:rPr>
          <w:rFonts w:hint="eastAsia" w:ascii="黑体" w:hAnsi="黑体" w:eastAsia="黑体" w:cs="黑体"/>
          <w:szCs w:val="30"/>
        </w:rPr>
        <w:t>第二十八条</w:t>
      </w:r>
      <w:r>
        <w:rPr>
          <w:rFonts w:hint="eastAsia" w:hAnsi="宋体"/>
          <w:szCs w:val="30"/>
        </w:rPr>
        <w:t>　制定食品安全追溯管理制度。明确食品原料采购和生产配送信息录入“上海市食品安全信息追溯平台”要求。鼓励企业采用包装上印制二维码等技术集成食品原料来源、产品自检等信息供消费者查询。所有生产和品质管理记录应由专人审核，如发现异常现象，应立即处理。记录和凭证保存期限不得少于产品保质期满后6个月。鼓励企业采用电子计算机信息技术系统和手段进行文件和记录的管理。</w:t>
      </w:r>
    </w:p>
    <w:p>
      <w:pPr>
        <w:tabs>
          <w:tab w:val="left" w:pos="790"/>
          <w:tab w:val="left" w:pos="1264"/>
        </w:tabs>
        <w:overflowPunct w:val="0"/>
        <w:adjustRightInd w:val="0"/>
        <w:snapToGrid w:val="0"/>
        <w:spacing w:line="351" w:lineRule="auto"/>
        <w:ind w:firstLine="624"/>
        <w:rPr>
          <w:rFonts w:hAnsi="宋体"/>
          <w:szCs w:val="30"/>
        </w:rPr>
      </w:pPr>
      <w:r>
        <w:rPr>
          <w:rFonts w:hint="eastAsia" w:ascii="黑体" w:hAnsi="黑体" w:eastAsia="黑体" w:cs="黑体"/>
          <w:szCs w:val="30"/>
        </w:rPr>
        <w:t>第二十九条</w:t>
      </w:r>
      <w:r>
        <w:rPr>
          <w:rFonts w:hint="eastAsia" w:hAnsi="宋体"/>
          <w:szCs w:val="30"/>
        </w:rPr>
        <w:t>　应建立和实施生产配送的危害分析与关键控制点等食品安全管理体系，制定相应的生产配送操作规程。新办企业应在获证1年内，通过危害分析与关键控制点等食品安全管理体系认证。</w:t>
      </w:r>
    </w:p>
    <w:p>
      <w:pPr>
        <w:tabs>
          <w:tab w:val="left" w:pos="790"/>
          <w:tab w:val="left" w:pos="1264"/>
        </w:tabs>
        <w:overflowPunct w:val="0"/>
        <w:adjustRightInd w:val="0"/>
        <w:snapToGrid w:val="0"/>
        <w:spacing w:line="344" w:lineRule="auto"/>
        <w:ind w:firstLine="624"/>
        <w:rPr>
          <w:rFonts w:hAnsi="宋体"/>
          <w:szCs w:val="30"/>
        </w:rPr>
      </w:pPr>
    </w:p>
    <w:p>
      <w:pPr>
        <w:tabs>
          <w:tab w:val="left" w:pos="790"/>
          <w:tab w:val="left" w:pos="1264"/>
        </w:tabs>
        <w:overflowPunct w:val="0"/>
        <w:adjustRightInd w:val="0"/>
        <w:snapToGrid w:val="0"/>
        <w:spacing w:after="120" w:line="344"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第七章　检　验</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第三十条</w:t>
      </w:r>
      <w:r>
        <w:rPr>
          <w:rFonts w:hint="eastAsia" w:hAnsi="宋体"/>
          <w:szCs w:val="30"/>
        </w:rPr>
        <w:t>　每批膳食成品均应留样，留样食品应放置在专用冷藏设备中，保存至保质期届满后至少48小时。留样量应满足检验需要。应由专人管理留样食品、记录留样情况，记录内容应包括留样食品名称、生产日期和时间、留样人员等。</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第三十一条</w:t>
      </w:r>
      <w:r>
        <w:rPr>
          <w:rFonts w:hint="eastAsia" w:hAnsi="宋体"/>
          <w:szCs w:val="30"/>
        </w:rPr>
        <w:t>　按照企业所申报预包装冷藏膳食的品种和执行标准，提供试制产品检验合格报告，试制产品检验合格报告可以由企业自行检验，或者委托有资质的食品检验机构出具，企业应对提供的检验报告真实性负责。</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第三十二条</w:t>
      </w:r>
      <w:r>
        <w:rPr>
          <w:rFonts w:hint="eastAsia" w:hAnsi="宋体"/>
          <w:szCs w:val="30"/>
        </w:rPr>
        <w:t>　出厂检验项目应包括感官、标签、菌落总数、大肠埃希氏菌等。企业可以使用快速检测方法及设备进行产品检验，但应保证检测结果准确。使用的快速检测方法及设备做出厂检验时，应定期与国家标准规定的检验方法进行对比或者验证。快速检测结果不合格时，应使用食品安全国家标准规定的检验方法进行确认。</w:t>
      </w:r>
    </w:p>
    <w:p>
      <w:pPr>
        <w:tabs>
          <w:tab w:val="left" w:pos="790"/>
          <w:tab w:val="left" w:pos="1264"/>
        </w:tabs>
        <w:overflowPunct w:val="0"/>
        <w:adjustRightInd w:val="0"/>
        <w:snapToGrid w:val="0"/>
        <w:spacing w:line="344" w:lineRule="auto"/>
        <w:ind w:firstLine="624"/>
        <w:rPr>
          <w:rFonts w:hAnsi="宋体"/>
          <w:szCs w:val="30"/>
        </w:rPr>
      </w:pPr>
      <w:r>
        <w:rPr>
          <w:rFonts w:hint="eastAsia" w:ascii="黑体" w:hAnsi="黑体" w:eastAsia="黑体" w:cs="黑体"/>
          <w:szCs w:val="30"/>
        </w:rPr>
        <w:t>第三十三条</w:t>
      </w:r>
      <w:r>
        <w:rPr>
          <w:rFonts w:hint="eastAsia" w:hAnsi="宋体"/>
          <w:szCs w:val="30"/>
        </w:rPr>
        <w:t>　每年至少2次应根据食品执行的食品安全国家标准、食品安全地方标准或食品安全企业标准进行全项检验，并按相关标准、食品明示值进行判定。</w:t>
      </w:r>
    </w:p>
    <w:p>
      <w:pPr>
        <w:tabs>
          <w:tab w:val="left" w:pos="790"/>
          <w:tab w:val="left" w:pos="1264"/>
        </w:tabs>
        <w:overflowPunct w:val="0"/>
        <w:adjustRightInd w:val="0"/>
        <w:snapToGrid w:val="0"/>
        <w:spacing w:after="120" w:line="336" w:lineRule="auto"/>
        <w:jc w:val="center"/>
        <w:rPr>
          <w:rFonts w:ascii="方正小标宋简体" w:hAnsi="宋体" w:eastAsia="方正小标宋简体"/>
          <w:sz w:val="36"/>
          <w:szCs w:val="36"/>
        </w:rPr>
      </w:pPr>
      <w:r>
        <w:rPr>
          <w:rFonts w:hint="eastAsia" w:ascii="方正小标宋简体" w:hAnsi="宋体" w:eastAsia="方正小标宋简体"/>
          <w:sz w:val="36"/>
          <w:szCs w:val="36"/>
        </w:rPr>
        <w:t>第八章　附　则</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第三十四条</w:t>
      </w:r>
      <w:r>
        <w:rPr>
          <w:rFonts w:hint="eastAsia" w:hAnsi="宋体"/>
          <w:szCs w:val="30"/>
        </w:rPr>
        <w:t>　本细则仅适用于上海市预包装冷藏膳食食品生产企业，不包括现场制售行为。</w:t>
      </w:r>
    </w:p>
    <w:p>
      <w:pPr>
        <w:tabs>
          <w:tab w:val="left" w:pos="790"/>
          <w:tab w:val="left" w:pos="1264"/>
        </w:tabs>
        <w:overflowPunct w:val="0"/>
        <w:adjustRightInd w:val="0"/>
        <w:snapToGrid w:val="0"/>
        <w:spacing w:line="336" w:lineRule="auto"/>
        <w:ind w:firstLine="624"/>
        <w:rPr>
          <w:rFonts w:hAnsi="宋体"/>
          <w:szCs w:val="30"/>
        </w:rPr>
      </w:pPr>
      <w:r>
        <w:rPr>
          <w:rFonts w:hint="eastAsia" w:ascii="黑体" w:hAnsi="黑体" w:eastAsia="黑体" w:cs="黑体"/>
          <w:szCs w:val="30"/>
        </w:rPr>
        <w:t>第三十五条</w:t>
      </w:r>
      <w:r>
        <w:rPr>
          <w:rFonts w:hint="eastAsia" w:hAnsi="宋体"/>
          <w:szCs w:val="30"/>
        </w:rPr>
        <w:t>　本细则自2022年8月18日起施行，有效期至2027年8月17日。原上海市食品药品监督管理局发布的《上海市预包装冷藏膳食生产许可审查细则》（沪食药监规〔2017〕8号）同时废止。</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r>
        <w:rPr>
          <w:rFonts w:hint="eastAsia" w:hAnsi="宋体"/>
          <w:szCs w:val="30"/>
        </w:rPr>
        <w:t>附件：1．预包装冷藏膳食基本生产工艺和设备</w:t>
      </w:r>
    </w:p>
    <w:p>
      <w:pPr>
        <w:tabs>
          <w:tab w:val="left" w:pos="790"/>
          <w:tab w:val="left" w:pos="1264"/>
        </w:tabs>
        <w:overflowPunct w:val="0"/>
        <w:adjustRightInd w:val="0"/>
        <w:snapToGrid w:val="0"/>
        <w:spacing w:line="336" w:lineRule="auto"/>
        <w:ind w:left="2001" w:hanging="425"/>
        <w:rPr>
          <w:rFonts w:hAnsi="宋体"/>
          <w:szCs w:val="30"/>
        </w:rPr>
      </w:pPr>
      <w:r>
        <w:rPr>
          <w:rFonts w:hint="eastAsia" w:hAnsi="宋体"/>
          <w:szCs w:val="30"/>
        </w:rPr>
        <w:t>2．预包装冷藏膳食生产原料检验、环境监测、过程监控和成品检验监控指南</w:t>
      </w:r>
    </w:p>
    <w:p>
      <w:pPr>
        <w:tabs>
          <w:tab w:val="left" w:pos="790"/>
          <w:tab w:val="left" w:pos="1264"/>
        </w:tabs>
        <w:overflowPunct w:val="0"/>
        <w:adjustRightInd w:val="0"/>
        <w:snapToGrid w:val="0"/>
        <w:spacing w:line="336" w:lineRule="auto"/>
        <w:ind w:firstLine="624"/>
        <w:rPr>
          <w:rFonts w:hAnsi="宋体"/>
          <w:szCs w:val="30"/>
        </w:rPr>
      </w:pPr>
    </w:p>
    <w:p>
      <w:pPr>
        <w:tabs>
          <w:tab w:val="left" w:pos="790"/>
          <w:tab w:val="left" w:pos="1264"/>
        </w:tabs>
        <w:overflowPunct w:val="0"/>
        <w:adjustRightInd w:val="0"/>
        <w:snapToGrid w:val="0"/>
        <w:spacing w:line="336" w:lineRule="auto"/>
        <w:ind w:firstLine="624"/>
        <w:rPr>
          <w:rFonts w:hAnsi="宋体"/>
          <w:szCs w:val="30"/>
        </w:rPr>
      </w:pPr>
    </w:p>
    <w:p>
      <w:pPr>
        <w:rPr>
          <w:rFonts w:ascii="黑体" w:hAnsi="宋体" w:eastAsia="黑体" w:cs="宋体"/>
          <w:bCs/>
          <w:szCs w:val="32"/>
        </w:rPr>
      </w:pPr>
      <w:r>
        <w:rPr>
          <w:rFonts w:hint="eastAsia" w:ascii="黑体" w:hAnsi="宋体" w:eastAsia="黑体" w:cs="宋体"/>
          <w:bCs/>
          <w:szCs w:val="32"/>
        </w:rPr>
        <w:br w:type="page"/>
      </w: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附件1</w:t>
      </w:r>
    </w:p>
    <w:p>
      <w:pPr>
        <w:overflowPunct w:val="0"/>
        <w:adjustRightInd w:val="0"/>
        <w:snapToGrid w:val="0"/>
        <w:spacing w:line="336" w:lineRule="auto"/>
        <w:rPr>
          <w:szCs w:val="30"/>
        </w:rPr>
      </w:pP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预包装冷藏膳食基本生产工艺和设备</w:t>
      </w:r>
    </w:p>
    <w:p>
      <w:pPr>
        <w:overflowPunct w:val="0"/>
        <w:adjustRightInd w:val="0"/>
        <w:snapToGrid w:val="0"/>
        <w:rPr>
          <w:szCs w:val="30"/>
        </w:rPr>
      </w:pP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361"/>
        <w:gridCol w:w="3118"/>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80" w:type="dxa"/>
            <w:tcBorders>
              <w:tl2br w:val="nil"/>
              <w:tr2bl w:val="nil"/>
            </w:tcBorders>
            <w:noWrap/>
            <w:vAlign w:val="center"/>
          </w:tcPr>
          <w:p>
            <w:pPr>
              <w:overflowPunct w:val="0"/>
              <w:adjustRightInd w:val="0"/>
              <w:snapToGrid w:val="0"/>
              <w:ind w:left="-57" w:right="-57"/>
              <w:jc w:val="center"/>
              <w:rPr>
                <w:rFonts w:ascii="黑体" w:hAnsi="黑体" w:eastAsia="黑体" w:cs="黑体"/>
                <w:sz w:val="24"/>
                <w:szCs w:val="24"/>
              </w:rPr>
            </w:pPr>
            <w:r>
              <w:rPr>
                <w:rFonts w:hint="eastAsia" w:ascii="黑体" w:hAnsi="黑体" w:eastAsia="黑体" w:cs="黑体"/>
                <w:sz w:val="24"/>
                <w:szCs w:val="24"/>
              </w:rPr>
              <w:t>序号</w:t>
            </w:r>
          </w:p>
        </w:tc>
        <w:tc>
          <w:tcPr>
            <w:tcW w:w="1361"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基本生产</w:t>
            </w:r>
          </w:p>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工艺</w:t>
            </w:r>
          </w:p>
        </w:tc>
        <w:tc>
          <w:tcPr>
            <w:tcW w:w="3118"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生产设备</w:t>
            </w:r>
          </w:p>
        </w:tc>
        <w:tc>
          <w:tcPr>
            <w:tcW w:w="3685"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生产设备要求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1</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原料加工</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原料清洗水池、操作台、洗米机等；原料中包括即食蔬果的，配备独立的清洗、消毒、漂洗、去除表面水设备</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与加工食品品种相符合，水池数量、容量和操作台数量应与加工食品的数量相适应，各类水池和不同场所（车间）、区域有明显的区分标识。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2</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热加工</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烹调热加工设备、自动炊饭设备等</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产生油烟或大量蒸汽的设备上方应加设具备机械排风或油烟过滤功能的排气装置，过滤器应便于清洗和更换。与外界直接相通的排气口外应加装易于清洁的防虫筛网。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3</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快速冷却</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真空冷却机、隧道式冷却设备或差压冷却库等</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冷却设备设施应能满足冷却温度、时间要求和生产数量的需要。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4</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包装</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自动化包装设备</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根据食品种类和数量配备。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5</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贮存</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冷藏冷冻库</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应满足原料和成品贮存温度和生产数量的需要。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80" w:type="dxa"/>
            <w:tcBorders>
              <w:tl2br w:val="nil"/>
              <w:tr2bl w:val="nil"/>
            </w:tcBorders>
            <w:noWrap/>
            <w:vAlign w:val="center"/>
          </w:tcPr>
          <w:p>
            <w:pPr>
              <w:overflowPunct w:val="0"/>
              <w:adjustRightInd w:val="0"/>
              <w:snapToGrid w:val="0"/>
              <w:jc w:val="center"/>
              <w:rPr>
                <w:sz w:val="24"/>
                <w:szCs w:val="24"/>
              </w:rPr>
            </w:pPr>
            <w:r>
              <w:rPr>
                <w:rFonts w:hint="eastAsia"/>
                <w:sz w:val="24"/>
                <w:szCs w:val="24"/>
              </w:rPr>
              <w:t>6</w:t>
            </w:r>
          </w:p>
        </w:tc>
        <w:tc>
          <w:tcPr>
            <w:tcW w:w="136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清洗消毒</w:t>
            </w:r>
          </w:p>
        </w:tc>
        <w:tc>
          <w:tcPr>
            <w:tcW w:w="3118"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热力消毒或自动清洗消毒</w:t>
            </w:r>
          </w:p>
        </w:tc>
        <w:tc>
          <w:tcPr>
            <w:tcW w:w="3685" w:type="dxa"/>
            <w:tcBorders>
              <w:tl2br w:val="nil"/>
              <w:tr2bl w:val="nil"/>
            </w:tcBorders>
            <w:noWrap/>
            <w:vAlign w:val="center"/>
          </w:tcPr>
          <w:p>
            <w:pPr>
              <w:overflowPunct w:val="0"/>
              <w:adjustRightInd w:val="0"/>
              <w:snapToGrid w:val="0"/>
              <w:jc w:val="center"/>
              <w:rPr>
                <w:sz w:val="24"/>
                <w:szCs w:val="24"/>
              </w:rPr>
            </w:pPr>
            <w:r>
              <w:rPr>
                <w:rFonts w:hint="eastAsia"/>
                <w:sz w:val="24"/>
                <w:szCs w:val="24"/>
              </w:rPr>
              <w:t>采用热力消毒的，至少设有2个专用水池。采用自动清洗消毒设备的，设备上应有温度显示和清洗消毒剂自动添加装置。</w:t>
            </w:r>
          </w:p>
        </w:tc>
      </w:tr>
    </w:tbl>
    <w:p>
      <w:pPr>
        <w:overflowPunct w:val="0"/>
        <w:adjustRightInd w:val="0"/>
        <w:snapToGrid w:val="0"/>
        <w:spacing w:before="60"/>
        <w:rPr>
          <w:rFonts w:ascii="楷体_GB2312" w:hAnsi="楷体_GB2312" w:eastAsia="楷体_GB2312" w:cs="楷体_GB2312"/>
          <w:sz w:val="24"/>
          <w:szCs w:val="24"/>
        </w:rPr>
      </w:pPr>
      <w:r>
        <w:rPr>
          <w:rFonts w:hint="eastAsia" w:ascii="楷体_GB2312" w:hAnsi="楷体_GB2312" w:eastAsia="楷体_GB2312" w:cs="楷体_GB2312"/>
          <w:sz w:val="24"/>
          <w:szCs w:val="24"/>
        </w:rPr>
        <w:t>注：鼓励企业采用真空冷却机（对门式）。</w:t>
      </w:r>
    </w:p>
    <w:p>
      <w:pPr>
        <w:rPr>
          <w:rFonts w:ascii="宋体" w:hAnsi="宋体" w:cs="宋体"/>
          <w:bCs/>
          <w:sz w:val="18"/>
          <w:szCs w:val="18"/>
        </w:rPr>
      </w:pPr>
    </w:p>
    <w:p>
      <w:pPr>
        <w:rPr>
          <w:rFonts w:ascii="黑体" w:eastAsia="黑体"/>
          <w:szCs w:val="30"/>
        </w:rPr>
      </w:pPr>
      <w:r>
        <w:rPr>
          <w:rFonts w:hint="eastAsia" w:ascii="黑体" w:eastAsia="黑体"/>
          <w:szCs w:val="30"/>
        </w:rPr>
        <w:br w:type="page"/>
      </w:r>
    </w:p>
    <w:p>
      <w:pPr>
        <w:tabs>
          <w:tab w:val="left" w:pos="790"/>
          <w:tab w:val="left" w:pos="1264"/>
        </w:tabs>
        <w:overflowPunct w:val="0"/>
        <w:adjustRightInd w:val="0"/>
        <w:snapToGrid w:val="0"/>
        <w:rPr>
          <w:rFonts w:ascii="黑体" w:eastAsia="黑体"/>
          <w:szCs w:val="30"/>
        </w:rPr>
      </w:pPr>
      <w:r>
        <w:rPr>
          <w:rFonts w:hint="eastAsia" w:ascii="黑体" w:eastAsia="黑体"/>
          <w:szCs w:val="30"/>
        </w:rPr>
        <w:t>附件2</w:t>
      </w:r>
    </w:p>
    <w:p>
      <w:pPr>
        <w:overflowPunct w:val="0"/>
        <w:adjustRightInd w:val="0"/>
        <w:snapToGrid w:val="0"/>
        <w:spacing w:line="336" w:lineRule="auto"/>
        <w:rPr>
          <w:szCs w:val="30"/>
        </w:rPr>
      </w:pP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预包装冷藏膳食生产原料检验、环境监测、</w:t>
      </w:r>
    </w:p>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过程监控和成品检验监控指南</w:t>
      </w:r>
    </w:p>
    <w:p>
      <w:pPr>
        <w:overflowPunct w:val="0"/>
        <w:adjustRightInd w:val="0"/>
        <w:snapToGrid w:val="0"/>
        <w:rPr>
          <w:szCs w:val="30"/>
        </w:rPr>
      </w:pPr>
    </w:p>
    <w:tbl>
      <w:tblPr>
        <w:tblStyle w:val="4"/>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381"/>
        <w:gridCol w:w="1871"/>
        <w:gridCol w:w="2154"/>
        <w:gridCol w:w="17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tblHeader/>
          <w:jc w:val="center"/>
        </w:trPr>
        <w:tc>
          <w:tcPr>
            <w:tcW w:w="3118" w:type="dxa"/>
            <w:gridSpan w:val="2"/>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监控项目</w:t>
            </w:r>
          </w:p>
        </w:tc>
        <w:tc>
          <w:tcPr>
            <w:tcW w:w="1871"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监控指标</w:t>
            </w:r>
          </w:p>
        </w:tc>
        <w:tc>
          <w:tcPr>
            <w:tcW w:w="2154"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要求</w:t>
            </w:r>
          </w:p>
        </w:tc>
        <w:tc>
          <w:tcPr>
            <w:tcW w:w="1757" w:type="dxa"/>
            <w:tcBorders>
              <w:tl2br w:val="nil"/>
              <w:tr2bl w:val="nil"/>
            </w:tcBorders>
            <w:noWrap/>
            <w:vAlign w:val="center"/>
          </w:tcPr>
          <w:p>
            <w:pPr>
              <w:overflowPunct w:val="0"/>
              <w:adjustRightInd w:val="0"/>
              <w:snapToGrid w:val="0"/>
              <w:jc w:val="center"/>
              <w:rPr>
                <w:rFonts w:ascii="黑体" w:hAnsi="黑体" w:eastAsia="黑体" w:cs="黑体"/>
                <w:sz w:val="24"/>
                <w:szCs w:val="24"/>
              </w:rPr>
            </w:pPr>
            <w:r>
              <w:rPr>
                <w:rFonts w:hint="eastAsia" w:ascii="黑体" w:hAnsi="黑体" w:eastAsia="黑体" w:cs="黑体"/>
                <w:sz w:val="24"/>
                <w:szCs w:val="24"/>
              </w:rPr>
              <w:t xml:space="preserve">监控频率 </w:t>
            </w:r>
            <w:r>
              <w:rPr>
                <w:rFonts w:hint="eastAsia" w:ascii="黑体" w:hAnsi="黑体" w:eastAsia="黑体" w:cs="黑体"/>
                <w:position w:val="-9"/>
                <w:sz w:val="44"/>
                <w:szCs w:val="44"/>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原料检验</w:t>
            </w: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畜肉</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瘦肉精（盐酸克伦特罗、沙丁胺醇、莱克多巴胺）</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符合相关要求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水发产品</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甲醛</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符合相关要求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果蔬</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农残（有机磷、氨基甲酸酯类）</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符合相关要求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腌制畜禽肉品、腌（盐</w:t>
            </w:r>
            <w:r>
              <w:rPr>
                <w:sz w:val="24"/>
                <w:szCs w:val="24"/>
              </w:rPr>
              <w:t>）</w:t>
            </w:r>
            <w:r>
              <w:rPr>
                <w:rFonts w:hint="eastAsia"/>
                <w:sz w:val="24"/>
                <w:szCs w:val="24"/>
              </w:rPr>
              <w:t>制料</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亚硝酸盐</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符合相关要求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批发采购的每批次产品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环境监测</w:t>
            </w: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水质</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菌落总数、总大肠菌群、余氯</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按GB 5749要求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各个区域每月不少于1次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包装间等洁净区域</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温度、湿度、压差值</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按GB 50457中D级洁净室要求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每天1次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悬浮粒子、浮游菌、沉降菌</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按GB 50457中D级洁净室要求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膳食热加工中心温度</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≥70℃</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膳食冷却后中心温度</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≤10℃</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膳食冷却时间</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时间</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≤2小时</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包装间温度</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膳食出冷藏库到操作完毕入冷藏库时间</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时间</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31/2026要求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膳食表面温度（当包装间高于21℃时）</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≤15℃</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环境监测</w:t>
            </w: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膳食冷却完毕至包装时间</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时间</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≤4小时</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消毒液浓度</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浓度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p>
            <w:pPr>
              <w:overflowPunct w:val="0"/>
              <w:adjustRightInd w:val="0"/>
              <w:snapToGrid w:val="0"/>
              <w:ind w:left="-57" w:right="-57"/>
              <w:jc w:val="center"/>
              <w:rPr>
                <w:sz w:val="24"/>
                <w:szCs w:val="24"/>
              </w:rPr>
            </w:pPr>
            <w:r>
              <w:rPr>
                <w:rFonts w:hint="eastAsia"/>
                <w:sz w:val="24"/>
                <w:szCs w:val="24"/>
              </w:rPr>
              <w:t>（参照使用说明书）</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每4小时1次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成品、半成品、易腐原料储存温度</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温度</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≤10℃</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每4小时1次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煎炸油</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极性组分</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≤27%</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每2小时1次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环节表面</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大肠菌群等</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按GB 14934要求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每班次不少于2件次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成品检验</w:t>
            </w:r>
          </w:p>
        </w:tc>
        <w:tc>
          <w:tcPr>
            <w:tcW w:w="2381" w:type="dxa"/>
            <w:vMerge w:val="restart"/>
            <w:tcBorders>
              <w:tl2br w:val="nil"/>
              <w:tr2bl w:val="nil"/>
            </w:tcBorders>
            <w:noWrap/>
            <w:vAlign w:val="center"/>
          </w:tcPr>
          <w:p>
            <w:pPr>
              <w:overflowPunct w:val="0"/>
              <w:adjustRightInd w:val="0"/>
              <w:snapToGrid w:val="0"/>
              <w:jc w:val="center"/>
              <w:rPr>
                <w:sz w:val="24"/>
                <w:szCs w:val="24"/>
              </w:rPr>
            </w:pPr>
            <w:r>
              <w:rPr>
                <w:rFonts w:hint="eastAsia"/>
                <w:sz w:val="24"/>
                <w:szCs w:val="24"/>
              </w:rPr>
              <w:t>成品</w:t>
            </w: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感官</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标签</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菌落总数、大肠埃希氏菌</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每批不少于1件次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致病菌</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真菌毒素</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737" w:type="dxa"/>
            <w:vMerge w:val="continue"/>
            <w:tcBorders>
              <w:tl2br w:val="nil"/>
              <w:tr2bl w:val="nil"/>
            </w:tcBorders>
            <w:noWrap/>
            <w:vAlign w:val="center"/>
          </w:tcPr>
          <w:p>
            <w:pPr>
              <w:overflowPunct w:val="0"/>
              <w:adjustRightInd w:val="0"/>
              <w:snapToGrid w:val="0"/>
              <w:jc w:val="center"/>
              <w:rPr>
                <w:sz w:val="24"/>
                <w:szCs w:val="24"/>
              </w:rPr>
            </w:pPr>
          </w:p>
        </w:tc>
        <w:tc>
          <w:tcPr>
            <w:tcW w:w="2381" w:type="dxa"/>
            <w:vMerge w:val="continue"/>
            <w:tcBorders>
              <w:tl2br w:val="nil"/>
              <w:tr2bl w:val="nil"/>
            </w:tcBorders>
            <w:noWrap/>
            <w:vAlign w:val="center"/>
          </w:tcPr>
          <w:p>
            <w:pPr>
              <w:overflowPunct w:val="0"/>
              <w:adjustRightInd w:val="0"/>
              <w:snapToGrid w:val="0"/>
              <w:jc w:val="center"/>
              <w:rPr>
                <w:sz w:val="24"/>
                <w:szCs w:val="24"/>
                <w:lang w:val="zh-CN"/>
              </w:rPr>
            </w:pPr>
          </w:p>
        </w:tc>
        <w:tc>
          <w:tcPr>
            <w:tcW w:w="1871"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污染物</w:t>
            </w:r>
          </w:p>
        </w:tc>
        <w:tc>
          <w:tcPr>
            <w:tcW w:w="2154" w:type="dxa"/>
            <w:tcBorders>
              <w:tl2br w:val="nil"/>
              <w:tr2bl w:val="nil"/>
            </w:tcBorders>
            <w:noWrap/>
            <w:vAlign w:val="center"/>
          </w:tcPr>
          <w:p>
            <w:pPr>
              <w:overflowPunct w:val="0"/>
              <w:adjustRightInd w:val="0"/>
              <w:snapToGrid w:val="0"/>
              <w:jc w:val="center"/>
              <w:rPr>
                <w:sz w:val="24"/>
                <w:szCs w:val="24"/>
              </w:rPr>
            </w:pPr>
            <w:r>
              <w:rPr>
                <w:rFonts w:hint="eastAsia"/>
                <w:sz w:val="24"/>
                <w:szCs w:val="24"/>
              </w:rPr>
              <w:t>按DB 31/2025要求</w:t>
            </w:r>
          </w:p>
        </w:tc>
        <w:tc>
          <w:tcPr>
            <w:tcW w:w="1757" w:type="dxa"/>
            <w:tcBorders>
              <w:tl2br w:val="nil"/>
              <w:tr2bl w:val="nil"/>
            </w:tcBorders>
            <w:noWrap/>
            <w:vAlign w:val="center"/>
          </w:tcPr>
          <w:p>
            <w:pPr>
              <w:overflowPunct w:val="0"/>
              <w:adjustRightInd w:val="0"/>
              <w:snapToGrid w:val="0"/>
              <w:jc w:val="center"/>
              <w:rPr>
                <w:sz w:val="24"/>
                <w:szCs w:val="24"/>
              </w:rPr>
            </w:pPr>
            <w:r>
              <w:rPr>
                <w:rFonts w:hint="eastAsia"/>
                <w:sz w:val="24"/>
                <w:szCs w:val="24"/>
              </w:rPr>
              <w:t>企业自定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8900" w:type="dxa"/>
            <w:gridSpan w:val="5"/>
            <w:tcBorders>
              <w:tl2br w:val="nil"/>
              <w:tr2bl w:val="nil"/>
            </w:tcBorders>
            <w:noWrap/>
            <w:vAlign w:val="center"/>
          </w:tcPr>
          <w:p>
            <w:pPr>
              <w:overflowPunct w:val="0"/>
              <w:adjustRightInd w:val="0"/>
              <w:snapToGrid w:val="0"/>
              <w:rPr>
                <w:rFonts w:ascii="楷体_GB2312" w:hAnsi="楷体_GB2312" w:eastAsia="楷体_GB2312" w:cs="楷体_GB2312"/>
                <w:w w:val="90"/>
                <w:sz w:val="24"/>
                <w:szCs w:val="24"/>
              </w:rPr>
            </w:pPr>
            <w:r>
              <w:rPr>
                <w:rFonts w:hint="eastAsia" w:ascii="楷体_GB2312" w:hAnsi="楷体_GB2312" w:eastAsia="楷体_GB2312" w:cs="楷体_GB2312"/>
                <w:w w:val="90"/>
                <w:position w:val="-9"/>
                <w:sz w:val="44"/>
                <w:szCs w:val="44"/>
                <w:vertAlign w:val="superscript"/>
              </w:rPr>
              <w:t>a</w:t>
            </w:r>
            <w:r>
              <w:rPr>
                <w:rFonts w:hint="eastAsia" w:ascii="楷体_GB2312" w:hAnsi="楷体_GB2312" w:eastAsia="楷体_GB2312" w:cs="楷体_GB2312"/>
                <w:w w:val="90"/>
                <w:sz w:val="24"/>
                <w:szCs w:val="24"/>
              </w:rPr>
              <w:t xml:space="preserve"> 在同一时间段完成热加工、膳食冷却、膳食包装等生产工序的同品种膳食，计为一个批次。</w:t>
            </w:r>
          </w:p>
        </w:tc>
      </w:tr>
    </w:tbl>
    <w:p>
      <w:pPr>
        <w:adjustRightInd w:val="0"/>
        <w:snapToGrid w:val="0"/>
        <w:spacing w:line="336" w:lineRule="auto"/>
      </w:pPr>
    </w:p>
    <w:p>
      <w:pPr>
        <w:adjustRightInd w:val="0"/>
        <w:snapToGrid w:val="0"/>
        <w:spacing w:line="336" w:lineRule="auto"/>
      </w:pPr>
    </w:p>
    <w:p>
      <w:pPr>
        <w:adjustRightInd w:val="0"/>
        <w:snapToGrid w:val="0"/>
        <w:spacing w:line="336" w:lineRule="auto"/>
      </w:pPr>
    </w:p>
    <w:p>
      <w:pPr>
        <w:adjustRightInd w:val="0"/>
        <w:snapToGrid w:val="0"/>
        <w:spacing w:line="336" w:lineRule="auto"/>
      </w:pPr>
    </w:p>
    <w:p>
      <w:pPr>
        <w:adjustRightInd w:val="0"/>
        <w:snapToGrid w:val="0"/>
        <w:spacing w:line="336" w:lineRule="auto"/>
      </w:pPr>
    </w:p>
    <w:p>
      <w:pPr>
        <w:adjustRightInd w:val="0"/>
        <w:snapToGrid w:val="0"/>
        <w:spacing w:line="324" w:lineRule="auto"/>
      </w:pPr>
    </w:p>
    <w:p>
      <w:pPr>
        <w:overflowPunct w:val="0"/>
        <w:adjustRightInd w:val="0"/>
        <w:snapToGrid w:val="0"/>
        <w:spacing w:line="336" w:lineRule="auto"/>
        <w:ind w:firstLine="284"/>
        <w:rPr>
          <w:rFonts w:hAnsi="宋体"/>
          <w:sz w:val="28"/>
          <w:szCs w:val="28"/>
        </w:rPr>
      </w:pPr>
      <w:r>
        <w:rPr>
          <w:sz w:val="28"/>
          <w:szCs w:val="28"/>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ragraph">
                  <wp:posOffset>262890</wp:posOffset>
                </wp:positionV>
                <wp:extent cx="5615940" cy="0"/>
                <wp:effectExtent l="0" t="0" r="0" b="0"/>
                <wp:wrapNone/>
                <wp:docPr id="3" name="直线 3"/>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0.7pt;height:0pt;width:442.2pt;z-index:251667456;mso-width-relative:page;mso-height-relative:page;" filled="f" stroked="t" coordsize="21600,21600" o:gfxdata="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3oBgx1QAAAAYB&#10;AAAPAAAAAAAAAAEAIAAAADgAAABkcnMvZG93bnJldi54bWxQSwECFAAUAAAACACHTuJAl29Qqc8B&#10;AACRAwAADgAAAAAAAAABACAAAAA6AQAAZHJzL2Uyb0RvYy54bWxQSwUGAAAAAAYABgBZAQAAewUA&#10;AAAA&#10;">
                <v:fill on="f" focussize="0,0"/>
                <v:stroke weight="1pt" color="#000000" joinstyle="round"/>
                <v:imagedata o:title=""/>
                <o:lock v:ext="edit" aspectratio="f"/>
                <w10:anchorlock/>
              </v:line>
            </w:pict>
          </mc:Fallback>
        </mc:AlternateContent>
      </w:r>
      <w:r>
        <w:rPr>
          <w:sz w:val="28"/>
          <w:szCs w:val="28"/>
        </w:rPr>
        <mc:AlternateContent>
          <mc:Choice Requires="wps">
            <w:drawing>
              <wp:anchor distT="0" distB="0" distL="114300" distR="114300" simplePos="0" relativeHeight="251666432" behindDoc="0" locked="1" layoutInCell="1" allowOverlap="1">
                <wp:simplePos x="0" y="0"/>
                <wp:positionH relativeFrom="column">
                  <wp:posOffset>0</wp:posOffset>
                </wp:positionH>
                <wp:positionV relativeFrom="paragraph">
                  <wp:posOffset>-50165</wp:posOffset>
                </wp:positionV>
                <wp:extent cx="5615940" cy="0"/>
                <wp:effectExtent l="0" t="0" r="0" b="0"/>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3.95pt;height:0pt;width:442.2pt;z-index:251666432;mso-width-relative:page;mso-height-relative:page;" filled="f" stroked="t" coordsize="21600,21600" o:gfxdata="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LILFldYAAAAG&#10;AQAADwAAAAAAAAABACAAAAA4AAAAZHJzL2Rvd25yZXYueG1sUEsBAhQAFAAAAAgAh07iQDHuzzjP&#10;AQAAkQMAAA4AAAAAAAAAAQAgAAAAOwEAAGRycy9lMm9Eb2MueG1sUEsFBgAAAAAGAAYAWQEAAHwF&#10;AAAAAA==&#10;">
                <v:fill on="f" focussize="0,0"/>
                <v:stroke weight="1pt" color="#000000" joinstyle="round"/>
                <v:imagedata o:title=""/>
                <o:lock v:ext="edit" aspectratio="f"/>
                <w10:anchorlock/>
              </v:line>
            </w:pict>
          </mc:Fallback>
        </mc:AlternateContent>
      </w:r>
      <w:r>
        <w:rPr>
          <w:rFonts w:hint="eastAsia" w:hAnsi="宋体"/>
          <w:sz w:val="28"/>
          <w:szCs w:val="28"/>
        </w:rPr>
        <w:t>上海市市场监督管理局办公室</w:t>
      </w:r>
      <w:r>
        <w:rPr>
          <w:rFonts w:hint="eastAsia" w:hAnsi="宋体"/>
          <w:spacing w:val="-2"/>
          <w:sz w:val="28"/>
          <w:szCs w:val="28"/>
        </w:rPr>
        <w:t xml:space="preserve">               </w:t>
      </w:r>
      <w:r>
        <w:rPr>
          <w:rFonts w:hint="eastAsia" w:hAnsi="宋体"/>
          <w:sz w:val="28"/>
          <w:szCs w:val="28"/>
        </w:rPr>
        <w:t>202</w:t>
      </w:r>
      <w:r>
        <w:rPr>
          <w:rFonts w:hAnsi="宋体"/>
          <w:sz w:val="28"/>
          <w:szCs w:val="28"/>
        </w:rPr>
        <w:t>2</w:t>
      </w:r>
      <w:r>
        <w:rPr>
          <w:rFonts w:hint="eastAsia" w:hAnsi="宋体"/>
          <w:sz w:val="28"/>
          <w:szCs w:val="28"/>
        </w:rPr>
        <w:t xml:space="preserve">年7月15日印发  </w:t>
      </w:r>
    </w:p>
    <w:sectPr>
      <w:footerReference r:id="rId3" w:type="default"/>
      <w:footerReference r:id="rId4" w:type="even"/>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Fonts w:ascii="宋体" w:hAnsi="宋体" w:eastAsia="宋体"/>
        <w:sz w:val="28"/>
        <w:szCs w:val="28"/>
      </w:rPr>
      <w:t>12</w:t>
    </w:r>
    <w:r>
      <w:rPr>
        <w:rFonts w:hint="eastAsia"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evenAndOddHeaders w:val="true"/>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C980C"/>
    <w:rsid w:val="0004520E"/>
    <w:rsid w:val="002105DB"/>
    <w:rsid w:val="00726608"/>
    <w:rsid w:val="00FD583D"/>
    <w:rsid w:val="5FDC9A4F"/>
    <w:rsid w:val="6FFC980C"/>
    <w:rsid w:val="6FFFB72C"/>
    <w:rsid w:val="77F27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Table Paragraph"/>
    <w:basedOn w:val="1"/>
    <w:qFormat/>
    <w:uiPriority w:val="1"/>
    <w:pPr>
      <w:ind w:left="70"/>
      <w:jc w:val="center"/>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4678</Words>
  <Characters>499</Characters>
  <Lines>4</Lines>
  <Paragraphs>10</Paragraphs>
  <TotalTime>7</TotalTime>
  <ScaleCrop>false</ScaleCrop>
  <LinksUpToDate>false</LinksUpToDate>
  <CharactersWithSpaces>5167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2022-07-05T16:51:00Z</dcterms:created>
  <dc:creator>scjuser</dc:creator>
  <cp:lastModifiedBy>scjuser</cp:lastModifiedBy>
  <dcterms:modified xsi:type="dcterms:W3CDTF">2022-08-02T18:01:54Z</dcterms:modified>
  <dc:title>上海市市场监督管理局文件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