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textAlignment w:val="auto"/>
        <w:outlineLvl w:val="0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5509"/>
      <w:bookmarkStart w:id="1" w:name="_Toc31413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End w:id="0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ind w:lef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金山区建筑工地疫情防控复工复产条件自查表</w:t>
      </w:r>
    </w:p>
    <w:tbl>
      <w:tblPr>
        <w:tblStyle w:val="11"/>
        <w:tblW w:w="5578" w:type="pct"/>
        <w:tblInd w:w="-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3316"/>
        <w:gridCol w:w="3835"/>
        <w:gridCol w:w="1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51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</w:pPr>
            <w:r>
              <w:rPr>
                <w:rFonts w:hint="eastAsia" w:ascii="宋体" w:hAnsi="宋体" w:cs="宋体"/>
              </w:rPr>
              <w:t>项目名称：</w:t>
            </w:r>
          </w:p>
        </w:tc>
        <w:tc>
          <w:tcPr>
            <w:tcW w:w="24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</w:pPr>
            <w:r>
              <w:rPr>
                <w:rFonts w:hint="eastAsia" w:ascii="宋体" w:hAnsi="宋体" w:cs="宋体"/>
              </w:rPr>
              <w:t>建设单位：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251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textAlignment w:val="auto"/>
            </w:pPr>
            <w:r>
              <w:rPr>
                <w:rFonts w:hint="eastAsia" w:ascii="宋体" w:hAnsi="宋体" w:cs="宋体"/>
              </w:rPr>
              <w:t>施工总包单位：</w:t>
            </w:r>
          </w:p>
        </w:tc>
        <w:tc>
          <w:tcPr>
            <w:tcW w:w="248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</w:pPr>
            <w:r>
              <w:rPr>
                <w:rFonts w:hint="eastAsia" w:ascii="宋体" w:hAnsi="宋体" w:cs="宋体"/>
              </w:rPr>
              <w:t>监理单位：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left"/>
              <w:textAlignment w:val="auto"/>
            </w:pPr>
            <w:r>
              <w:rPr>
                <w:rFonts w:hint="eastAsia" w:ascii="宋体" w:hAnsi="宋体" w:cs="宋体"/>
              </w:rPr>
              <w:t>工程地址：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436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检查项目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检查结论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241" w:firstLineChars="10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否决项一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241" w:firstLineChars="10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建筑工地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核酸和抗原检测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是否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全部正常</w:t>
            </w:r>
          </w:p>
        </w:tc>
        <w:tc>
          <w:tcPr>
            <w:tcW w:w="639" w:type="pct"/>
            <w:tcMar>
              <w:left w:w="28" w:type="dxa"/>
              <w:right w:w="2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241" w:firstLineChars="10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否决项二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241" w:firstLineChars="10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安全生产条件是否满足复工要求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241" w:firstLineChars="10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否决项三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firstLine="241" w:firstLineChars="10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疫情防控措施是否落实到位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241" w:firstLineChars="100"/>
              <w:jc w:val="center"/>
              <w:textAlignment w:val="auto"/>
              <w:rPr>
                <w:rFonts w:hint="eastAsia" w:ascii="黑体" w:hAnsi="黑体" w:eastAsia="黑体" w:cs="仿宋_GB2312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否决项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lang w:val="en-US" w:eastAsia="zh-CN"/>
              </w:rPr>
              <w:t>四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 w:firstLine="241" w:firstLineChars="100"/>
              <w:jc w:val="center"/>
              <w:textAlignment w:val="auto"/>
              <w:rPr>
                <w:rFonts w:hint="default" w:ascii="黑体" w:hAnsi="黑体" w:eastAsia="黑体" w:cs="仿宋_GB2312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黑体" w:hAnsi="黑体" w:eastAsia="黑体" w:cs="仿宋_GB2312"/>
                <w:b/>
                <w:bCs/>
                <w:sz w:val="24"/>
                <w:szCs w:val="24"/>
                <w:lang w:val="en-US" w:eastAsia="zh-CN" w:bidi="zh-CN"/>
              </w:rPr>
              <w:t>建筑工地开展一次全面消杀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仿宋_GB2312"/>
                <w:b/>
                <w:bCs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>1</w:t>
            </w:r>
            <w:r>
              <w:rPr>
                <w:rFonts w:hint="eastAsia" w:ascii="宋体" w:hAnsi="宋体" w:cs="宋体"/>
              </w:rPr>
              <w:t>、疫情防控责任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 w:ascii="宋体" w:hAnsi="宋体" w:cs="宋体"/>
              </w:rPr>
              <w:t>建设单位牵头成立疫情防控小组，建立防控专班，做好疫情防控应急预案和工作保障。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>2</w:t>
            </w:r>
            <w:r>
              <w:rPr>
                <w:rFonts w:hint="eastAsia" w:ascii="宋体" w:hAnsi="宋体" w:cs="宋体"/>
              </w:rPr>
              <w:t>、现场人员管控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 w:ascii="宋体" w:hAnsi="宋体" w:cs="宋体"/>
              </w:rPr>
              <w:t>每日更新实名制信息；建立</w:t>
            </w:r>
            <w:r>
              <w:t>“</w:t>
            </w:r>
            <w:r>
              <w:rPr>
                <w:rFonts w:hint="eastAsia" w:ascii="宋体" w:hAnsi="宋体" w:cs="宋体"/>
              </w:rPr>
              <w:t>一人一档</w:t>
            </w:r>
            <w:r>
              <w:t>”</w:t>
            </w:r>
            <w:r>
              <w:rPr>
                <w:rFonts w:hint="eastAsia" w:ascii="宋体" w:hAnsi="宋体" w:cs="宋体"/>
              </w:rPr>
              <w:t>；务工人员是否闭环管理。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>3</w:t>
            </w:r>
            <w:r>
              <w:rPr>
                <w:rFonts w:hint="eastAsia" w:ascii="宋体" w:hAnsi="宋体" w:cs="宋体"/>
              </w:rPr>
              <w:t>、现场封闭管理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 w:ascii="宋体" w:hAnsi="宋体" w:cs="宋体"/>
              </w:rPr>
              <w:t>实行全封闭管理，</w:t>
            </w:r>
            <w:r>
              <w:rPr>
                <w:rFonts w:hint="eastAsia" w:ascii="宋体" w:hAnsi="宋体" w:cs="宋体"/>
                <w:lang w:val="en-US" w:eastAsia="zh-CN"/>
              </w:rPr>
              <w:t>设置场所码，</w:t>
            </w:r>
            <w:r>
              <w:rPr>
                <w:rFonts w:hint="eastAsia" w:ascii="宋体" w:hAnsi="宋体" w:cs="宋体"/>
              </w:rPr>
              <w:t>出入必查</w:t>
            </w:r>
            <w:r>
              <w:t>“</w:t>
            </w:r>
            <w:r>
              <w:rPr>
                <w:rFonts w:hint="eastAsia" w:ascii="宋体" w:hAnsi="宋体" w:cs="宋体"/>
              </w:rPr>
              <w:t>一戴三码</w:t>
            </w:r>
            <w:r>
              <w:t>”</w:t>
            </w:r>
            <w:r>
              <w:rPr>
                <w:rFonts w:hint="eastAsia" w:ascii="宋体" w:hAnsi="宋体" w:cs="宋体"/>
              </w:rPr>
              <w:t>（戴口罩、查验行程码、随申码、接种码）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t>48</w:t>
            </w:r>
            <w:r>
              <w:rPr>
                <w:rFonts w:hint="eastAsia" w:ascii="宋体" w:hAnsi="宋体" w:cs="宋体"/>
              </w:rPr>
              <w:t>小时内核酸检测阴性报告</w:t>
            </w:r>
            <w:r>
              <w:rPr>
                <w:rFonts w:hint="eastAsia" w:ascii="宋体" w:hAnsi="宋体" w:cs="宋体"/>
                <w:lang w:eastAsia="zh-CN"/>
              </w:rPr>
              <w:t>和</w:t>
            </w:r>
            <w:r>
              <w:rPr>
                <w:rFonts w:hint="eastAsia" w:ascii="宋体" w:hAnsi="宋体" w:cs="宋体"/>
                <w:lang w:val="en-US" w:eastAsia="zh-CN"/>
              </w:rPr>
              <w:t>抗原检测情况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>4</w:t>
            </w:r>
            <w:r>
              <w:rPr>
                <w:rFonts w:hint="eastAsia" w:ascii="宋体" w:hAnsi="宋体" w:cs="宋体"/>
              </w:rPr>
              <w:t>、防疫物资保障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 w:ascii="宋体" w:hAnsi="宋体" w:cs="宋体"/>
              </w:rPr>
              <w:t>施工现场配备体温检测仪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</w:rPr>
              <w:t>台、口罩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</w:rPr>
              <w:t>只、消毒液</w:t>
            </w:r>
            <w:r>
              <w:rPr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</w:rPr>
              <w:t>瓶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抗原试剂</w:t>
            </w:r>
            <w:r>
              <w:rPr>
                <w:rFonts w:hint="eastAsia" w:ascii="宋体" w:hAnsi="宋体" w:cs="宋体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lang w:val="en-US" w:eastAsia="zh-CN"/>
              </w:rPr>
              <w:t>支，</w:t>
            </w:r>
            <w:r>
              <w:rPr>
                <w:rFonts w:hint="eastAsia" w:ascii="宋体" w:hAnsi="宋体" w:cs="宋体"/>
              </w:rPr>
              <w:t>储备不少于</w:t>
            </w:r>
            <w:r>
              <w:rPr>
                <w:rFonts w:hint="eastAsia" w:ascii="宋体" w:hAnsi="宋体" w:cs="宋体"/>
                <w:lang w:val="en-US" w:eastAsia="zh-CN"/>
              </w:rPr>
              <w:t>14天的</w:t>
            </w:r>
            <w:r>
              <w:rPr>
                <w:rFonts w:hint="eastAsia" w:ascii="宋体" w:hAnsi="宋体" w:cs="宋体"/>
              </w:rPr>
              <w:t>用量。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>5</w:t>
            </w:r>
            <w:r>
              <w:rPr>
                <w:rFonts w:hint="eastAsia" w:ascii="宋体" w:hAnsi="宋体" w:cs="宋体"/>
              </w:rPr>
              <w:t>、人员到岗履职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 w:ascii="宋体" w:hAnsi="宋体" w:cs="宋体"/>
              </w:rPr>
              <w:t>施工现场关键岗位（项目负责人、技术负责人、安全员、质量员、施工员、总监、专业监理工程师等）已到岗履职，特殊工种人员持证上岗。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>6</w:t>
            </w:r>
            <w:r>
              <w:rPr>
                <w:rFonts w:hint="eastAsia" w:ascii="宋体" w:hAnsi="宋体" w:cs="宋体"/>
              </w:rPr>
              <w:t>、食堂管理及日常卫生消杀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 w:ascii="宋体" w:hAnsi="宋体" w:cs="宋体"/>
              </w:rPr>
              <w:t>确保施工区、生活区、办公区各个部位不留死角，留存相关记录；明确每日消杀人员、消杀部位、频次；不堂吃、分时段打餐、宿舍就餐、保持距离、不聚餐。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default" w:eastAsia="仿宋_GB2312"/>
                <w:lang w:val="en-US" w:eastAsia="zh-CN"/>
              </w:rPr>
            </w:pPr>
            <w:r>
              <w:t>7</w:t>
            </w:r>
            <w:r>
              <w:rPr>
                <w:rFonts w:hint="eastAsia" w:ascii="宋体" w:hAnsi="宋体" w:cs="宋体"/>
              </w:rPr>
              <w:t>、防疫教育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</w:rPr>
              <w:t>安全交底</w:t>
            </w:r>
            <w:r>
              <w:rPr>
                <w:rFonts w:hint="eastAsia" w:ascii="宋体" w:hAnsi="宋体" w:cs="宋体"/>
                <w:lang w:val="en-US" w:eastAsia="zh-CN"/>
              </w:rPr>
              <w:t>、安全教育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 w:ascii="宋体" w:hAnsi="宋体" w:cs="宋体"/>
                <w:lang w:val="en-US" w:eastAsia="zh-CN"/>
              </w:rPr>
              <w:t>复工</w:t>
            </w:r>
            <w:r>
              <w:rPr>
                <w:rFonts w:hint="eastAsia" w:ascii="宋体" w:hAnsi="宋体" w:cs="宋体"/>
              </w:rPr>
              <w:t>前对</w:t>
            </w:r>
            <w:r>
              <w:rPr>
                <w:rFonts w:hint="eastAsia" w:ascii="宋体" w:hAnsi="宋体" w:cs="宋体"/>
                <w:lang w:val="en-US" w:eastAsia="zh-CN"/>
              </w:rPr>
              <w:t>全体</w:t>
            </w:r>
            <w:r>
              <w:rPr>
                <w:rFonts w:hint="eastAsia" w:ascii="宋体" w:hAnsi="宋体" w:cs="宋体"/>
              </w:rPr>
              <w:t>施工作业人员开展防疫教育</w:t>
            </w:r>
            <w:r>
              <w:rPr>
                <w:rFonts w:hint="eastAsia" w:ascii="宋体" w:hAnsi="宋体" w:cs="宋体"/>
                <w:lang w:eastAsia="zh-CN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安全</w:t>
            </w:r>
            <w:r>
              <w:rPr>
                <w:rFonts w:hint="eastAsia" w:ascii="宋体" w:hAnsi="宋体" w:cs="宋体"/>
              </w:rPr>
              <w:t>交底</w:t>
            </w:r>
            <w:r>
              <w:rPr>
                <w:rFonts w:hint="eastAsia" w:ascii="宋体" w:hAnsi="宋体" w:cs="宋体"/>
                <w:lang w:val="en-US" w:eastAsia="zh-CN"/>
              </w:rPr>
              <w:t>和安全教育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</w:rPr>
              <w:t>、</w:t>
            </w:r>
            <w:r>
              <w:rPr>
                <w:rFonts w:hint="eastAsia" w:ascii="宋体" w:hAnsi="宋体" w:cs="宋体"/>
                <w:lang w:val="en-US" w:eastAsia="zh-CN"/>
              </w:rPr>
              <w:t>危大工程及施工用电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  <w:rPr>
                <w:rFonts w:hint="default" w:ascii="黑体" w:hAnsi="Wingdings 2" w:eastAsia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组织</w:t>
            </w:r>
            <w:r>
              <w:rPr>
                <w:rFonts w:hint="eastAsia" w:ascii="宋体" w:hAnsi="宋体" w:cs="宋体"/>
                <w:lang w:val="en-US" w:eastAsia="zh-CN"/>
              </w:rPr>
              <w:t>相关单位对深基坑、高处作业、起重机械、操作平台</w:t>
            </w:r>
            <w:r>
              <w:rPr>
                <w:rFonts w:hint="eastAsia" w:ascii="宋体" w:hAnsi="宋体" w:cs="宋体"/>
              </w:rPr>
              <w:t>进行检查、维</w:t>
            </w:r>
            <w:r>
              <w:rPr>
                <w:rFonts w:hint="eastAsia" w:ascii="宋体" w:hAnsi="宋体" w:cs="宋体"/>
                <w:lang w:val="en-US" w:eastAsia="zh-CN"/>
              </w:rPr>
              <w:t>保</w:t>
            </w:r>
            <w:r>
              <w:rPr>
                <w:rFonts w:hint="eastAsia" w:ascii="宋体" w:hAnsi="宋体" w:cs="宋体"/>
              </w:rPr>
              <w:t>和调试，是否</w:t>
            </w:r>
            <w:r>
              <w:rPr>
                <w:rFonts w:hint="eastAsia" w:ascii="宋体" w:hAnsi="宋体" w:cs="宋体"/>
                <w:lang w:val="en-US" w:eastAsia="zh-CN"/>
              </w:rPr>
              <w:t>满足</w:t>
            </w:r>
            <w:r>
              <w:rPr>
                <w:rFonts w:hint="eastAsia" w:ascii="宋体" w:hAnsi="宋体" w:cs="宋体"/>
              </w:rPr>
              <w:t>安全</w:t>
            </w:r>
            <w:r>
              <w:rPr>
                <w:rFonts w:hint="eastAsia" w:ascii="宋体" w:hAnsi="宋体" w:cs="宋体"/>
                <w:lang w:val="en-US" w:eastAsia="zh-CN"/>
              </w:rPr>
              <w:t>生产</w:t>
            </w:r>
            <w:r>
              <w:rPr>
                <w:rFonts w:hint="eastAsia" w:ascii="宋体" w:hAnsi="宋体" w:cs="宋体"/>
              </w:rPr>
              <w:t>运行条件</w:t>
            </w:r>
            <w:r>
              <w:rPr>
                <w:rFonts w:hint="eastAsia" w:ascii="宋体" w:hAnsi="宋体" w:cs="宋体"/>
                <w:lang w:eastAsia="zh-CN"/>
              </w:rPr>
              <w:t>；</w:t>
            </w:r>
            <w:r>
              <w:rPr>
                <w:rFonts w:hint="eastAsia" w:ascii="宋体" w:hAnsi="宋体" w:cs="宋体"/>
                <w:lang w:val="en-US" w:eastAsia="zh-CN"/>
              </w:rPr>
              <w:t>施工用电是否符合“三级配电两级漏电保护”和“一机﹑一闸﹑一箱”的要求，经验收合格后方可使用。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</w:rPr>
              <w:t>、其他防疫工作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rFonts w:hint="eastAsia" w:ascii="宋体" w:hAnsi="宋体" w:cs="宋体"/>
                <w:lang w:val="en-US" w:eastAsia="zh-CN"/>
              </w:rPr>
              <w:t>现场</w:t>
            </w:r>
            <w:r>
              <w:rPr>
                <w:rFonts w:hint="eastAsia" w:ascii="宋体" w:hAnsi="宋体" w:cs="宋体"/>
              </w:rPr>
              <w:t>设置临时隔离区</w:t>
            </w:r>
            <w:r>
              <w:rPr>
                <w:rFonts w:hint="eastAsia" w:ascii="宋体" w:hAnsi="宋体" w:cs="宋体"/>
                <w:lang w:eastAsia="zh-CN"/>
              </w:rPr>
              <w:t>，并落实物料消杀工作</w:t>
            </w:r>
            <w:r>
              <w:rPr>
                <w:rFonts w:hint="eastAsia" w:ascii="宋体" w:hAnsi="宋体" w:cs="宋体"/>
              </w:rPr>
              <w:t>。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0"/>
              <w:jc w:val="center"/>
              <w:textAlignment w:val="auto"/>
            </w:pPr>
            <w:r>
              <w:t xml:space="preserve">  </w:t>
            </w:r>
            <w:r>
              <w:rPr>
                <w:szCs w:val="20"/>
              </w:rPr>
              <w:sym w:font="Wingdings 2" w:char="F0A3"/>
            </w:r>
            <w:r>
              <w:rPr>
                <w:rFonts w:hint="eastAsia" w:ascii="宋体" w:hAnsi="宋体" w:cs="宋体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910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结论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5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auto"/>
            </w:pP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符合</w:t>
            </w: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hint="eastAsia" w:ascii="黑体" w:hAnsi="Wingdings 2" w:eastAsia="黑体"/>
                <w:b/>
                <w:bCs/>
                <w:sz w:val="24"/>
                <w:szCs w:val="24"/>
              </w:rPr>
              <w:sym w:font="Wingdings 2" w:char="F0A3"/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不符合</w:t>
            </w:r>
          </w:p>
        </w:tc>
        <w:tc>
          <w:tcPr>
            <w:tcW w:w="63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textAlignment w:val="auto"/>
              <w:rPr>
                <w:rFonts w:ascii="黑体" w:hAnsi="黑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</w:rPr>
              <w:t>备注：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检查日期：</w:t>
      </w:r>
      <w:r>
        <w:rPr>
          <w:u w:val="single"/>
        </w:rPr>
        <w:t xml:space="preserve">          </w:t>
      </w:r>
      <w:r>
        <w:rPr>
          <w:rFonts w:hint="eastAsia" w:ascii="宋体" w:hAnsi="宋体" w:cs="宋体"/>
        </w:rPr>
        <w:t>；</w:t>
      </w:r>
      <w:r>
        <w:rPr>
          <w:rFonts w:hint="eastAsia" w:ascii="宋体" w:hAnsi="宋体" w:cs="宋体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exact"/>
        <w:ind w:left="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</w:rPr>
        <w:t>工地参建各方（建设、总包、监理）签名：</w:t>
      </w:r>
      <w:r>
        <w:rPr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 </w:t>
      </w:r>
      <w:r>
        <w:rPr>
          <w:rFonts w:hint="eastAsia" w:ascii="宋体" w:hAnsi="宋体" w:cs="宋体"/>
        </w:rPr>
        <w:t>；</w:t>
      </w:r>
      <w:r>
        <w:rPr>
          <w:u w:val="single"/>
        </w:rPr>
        <w:t xml:space="preserve">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  </w:t>
      </w:r>
      <w:r>
        <w:rPr>
          <w:rFonts w:hint="eastAsia" w:ascii="宋体" w:hAnsi="宋体" w:cs="宋体"/>
        </w:rPr>
        <w:t>；</w:t>
      </w:r>
      <w:r>
        <w:rPr>
          <w:u w:val="single"/>
        </w:rPr>
        <w:t xml:space="preserve">     </w:t>
      </w:r>
      <w:r>
        <w:rPr>
          <w:rFonts w:hint="eastAsia"/>
          <w:u w:val="single"/>
          <w:lang w:val="en-US" w:eastAsia="zh-CN"/>
        </w:rPr>
        <w:t xml:space="preserve">  </w:t>
      </w:r>
      <w:bookmarkStart w:id="2" w:name="_GoBack"/>
      <w:bookmarkEnd w:id="2"/>
      <w:r>
        <w:rPr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 xml:space="preserve">   </w:t>
      </w:r>
    </w:p>
    <w:sectPr>
      <w:footerReference r:id="rId5" w:type="default"/>
      <w:pgSz w:w="11906" w:h="16838"/>
      <w:pgMar w:top="1417" w:right="1417" w:bottom="1417" w:left="141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-197485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.5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Gk0H7WAAAACAEAAA8AAAAAAAAAAQAgAAAAIgAAAGRycy9kb3ducmV2LnhtbFBL&#10;AQIUABQAAAAIAIdO4kAkgka0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YjViOThkNWJmNzY1NDdmMjE1ZWMwMmQzODJjNDMifQ=="/>
  </w:docVars>
  <w:rsids>
    <w:rsidRoot w:val="00000000"/>
    <w:rsid w:val="03955F7B"/>
    <w:rsid w:val="04891E6A"/>
    <w:rsid w:val="0592624B"/>
    <w:rsid w:val="07501051"/>
    <w:rsid w:val="08082987"/>
    <w:rsid w:val="08634B8F"/>
    <w:rsid w:val="0AE9137C"/>
    <w:rsid w:val="0B1E3334"/>
    <w:rsid w:val="0DA9370B"/>
    <w:rsid w:val="0DDE4C7A"/>
    <w:rsid w:val="0E4E238F"/>
    <w:rsid w:val="0FCA4E66"/>
    <w:rsid w:val="0FF43C83"/>
    <w:rsid w:val="105F1AED"/>
    <w:rsid w:val="110A60E1"/>
    <w:rsid w:val="111B4E19"/>
    <w:rsid w:val="11EF6703"/>
    <w:rsid w:val="139B011F"/>
    <w:rsid w:val="14B41A3E"/>
    <w:rsid w:val="156226B5"/>
    <w:rsid w:val="15646EC0"/>
    <w:rsid w:val="15DF07FC"/>
    <w:rsid w:val="15F9713F"/>
    <w:rsid w:val="16F93A81"/>
    <w:rsid w:val="18057795"/>
    <w:rsid w:val="18167A61"/>
    <w:rsid w:val="1B360671"/>
    <w:rsid w:val="1C4C65F9"/>
    <w:rsid w:val="1E595CF5"/>
    <w:rsid w:val="1EBE2C92"/>
    <w:rsid w:val="1F252529"/>
    <w:rsid w:val="1F971FB0"/>
    <w:rsid w:val="216A44C3"/>
    <w:rsid w:val="218E2416"/>
    <w:rsid w:val="21C454F5"/>
    <w:rsid w:val="21FC2398"/>
    <w:rsid w:val="221032D5"/>
    <w:rsid w:val="23437398"/>
    <w:rsid w:val="26C71FFB"/>
    <w:rsid w:val="274154F7"/>
    <w:rsid w:val="28282AB4"/>
    <w:rsid w:val="284010CD"/>
    <w:rsid w:val="2D3F4052"/>
    <w:rsid w:val="338740EA"/>
    <w:rsid w:val="34086058"/>
    <w:rsid w:val="35DD2EEF"/>
    <w:rsid w:val="38000BD4"/>
    <w:rsid w:val="38B62C3B"/>
    <w:rsid w:val="3A817AC4"/>
    <w:rsid w:val="3C4967A9"/>
    <w:rsid w:val="3D011E2A"/>
    <w:rsid w:val="3F1D34F7"/>
    <w:rsid w:val="3F460000"/>
    <w:rsid w:val="40632248"/>
    <w:rsid w:val="41351F45"/>
    <w:rsid w:val="42042555"/>
    <w:rsid w:val="43EC05B3"/>
    <w:rsid w:val="44481DE8"/>
    <w:rsid w:val="45A81E8F"/>
    <w:rsid w:val="47216221"/>
    <w:rsid w:val="48A84E4D"/>
    <w:rsid w:val="49BE6CFD"/>
    <w:rsid w:val="4BE07B8E"/>
    <w:rsid w:val="50292FD0"/>
    <w:rsid w:val="50AA346A"/>
    <w:rsid w:val="514E662F"/>
    <w:rsid w:val="517B2B0D"/>
    <w:rsid w:val="51E75B6F"/>
    <w:rsid w:val="52130B3E"/>
    <w:rsid w:val="52F962B7"/>
    <w:rsid w:val="556768EC"/>
    <w:rsid w:val="55F77D8C"/>
    <w:rsid w:val="56786C15"/>
    <w:rsid w:val="56837C13"/>
    <w:rsid w:val="572720FD"/>
    <w:rsid w:val="57625FDC"/>
    <w:rsid w:val="59684B38"/>
    <w:rsid w:val="5EBE2881"/>
    <w:rsid w:val="5F0B1C55"/>
    <w:rsid w:val="5F2B098A"/>
    <w:rsid w:val="5F307244"/>
    <w:rsid w:val="5FAA7EBE"/>
    <w:rsid w:val="602D0A71"/>
    <w:rsid w:val="60807435"/>
    <w:rsid w:val="60CB01D6"/>
    <w:rsid w:val="63305BB4"/>
    <w:rsid w:val="64CC2205"/>
    <w:rsid w:val="660A6571"/>
    <w:rsid w:val="667116A8"/>
    <w:rsid w:val="66AB0511"/>
    <w:rsid w:val="674A72C7"/>
    <w:rsid w:val="69C27E46"/>
    <w:rsid w:val="6E9F34EB"/>
    <w:rsid w:val="6F1658B8"/>
    <w:rsid w:val="6FFA39E1"/>
    <w:rsid w:val="70B559D6"/>
    <w:rsid w:val="713D2B22"/>
    <w:rsid w:val="73DF77D7"/>
    <w:rsid w:val="770173D1"/>
    <w:rsid w:val="786D1EFA"/>
    <w:rsid w:val="79051BB2"/>
    <w:rsid w:val="79AC5645"/>
    <w:rsid w:val="79B22D47"/>
    <w:rsid w:val="7A4E170B"/>
    <w:rsid w:val="7D923542"/>
    <w:rsid w:val="7E225E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semiHidden/>
    <w:unhideWhenUsed/>
    <w:qFormat/>
    <w:uiPriority w:val="99"/>
    <w:pPr>
      <w:ind w:firstLine="1840"/>
    </w:pPr>
  </w:style>
  <w:style w:type="paragraph" w:styleId="3">
    <w:name w:val="Body Text First Indent 2"/>
    <w:basedOn w:val="4"/>
    <w:semiHidden/>
    <w:unhideWhenUsed/>
    <w:qFormat/>
    <w:uiPriority w:val="99"/>
    <w:pPr>
      <w:ind w:firstLine="420"/>
    </w:pPr>
  </w:style>
  <w:style w:type="paragraph" w:styleId="4">
    <w:name w:val="Body Text Indent"/>
    <w:basedOn w:val="1"/>
    <w:semiHidden/>
    <w:unhideWhenUsed/>
    <w:qFormat/>
    <w:uiPriority w:val="99"/>
    <w:pPr>
      <w:spacing w:line="560" w:lineRule="exact"/>
      <w:ind w:firstLine="560" w:firstLineChars="200"/>
    </w:pPr>
    <w:rPr>
      <w:rFonts w:ascii="??_GB2312" w:eastAsia="Times New Roman"/>
      <w:sz w:val="28"/>
    </w:rPr>
  </w:style>
  <w:style w:type="paragraph" w:styleId="5">
    <w:name w:val="Body Text"/>
    <w:basedOn w:val="1"/>
    <w:next w:val="1"/>
    <w:semiHidden/>
    <w:unhideWhenUsed/>
    <w:qFormat/>
    <w:uiPriority w:val="99"/>
    <w:pPr>
      <w:spacing w:before="190"/>
      <w:ind w:left="215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semiHidden/>
    <w:unhideWhenUsed/>
    <w:qFormat/>
    <w:uiPriority w:val="39"/>
  </w:style>
  <w:style w:type="paragraph" w:styleId="9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page number"/>
    <w:basedOn w:val="13"/>
    <w:semiHidden/>
    <w:unhideWhenUsed/>
    <w:qFormat/>
    <w:uiPriority w:val="99"/>
  </w:style>
  <w:style w:type="paragraph" w:styleId="16">
    <w:name w:val="List Paragraph"/>
    <w:basedOn w:val="1"/>
    <w:qFormat/>
    <w:uiPriority w:val="1"/>
    <w:pPr>
      <w:spacing w:before="190"/>
      <w:ind w:left="218" w:right="276" w:firstLine="638"/>
      <w:jc w:val="both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9">
    <w:name w:val="分类号"/>
    <w:basedOn w:val="1"/>
    <w:qFormat/>
    <w:uiPriority w:val="0"/>
    <w:pPr>
      <w:autoSpaceDE/>
      <w:autoSpaceDN/>
      <w:spacing w:before="0" w:after="0" w:line="240" w:lineRule="auto"/>
      <w:ind w:left="0" w:right="0"/>
      <w:jc w:val="both"/>
    </w:pPr>
    <w:rPr>
      <w:rFonts w:ascii="仿宋_GB2312" w:hAnsi="Times New Roman" w:eastAsia="仿宋_GB2312" w:cs="Times New Roman"/>
      <w:kern w:val="2"/>
      <w:sz w:val="28"/>
      <w:szCs w:val="28"/>
      <w:lang w:val="en-US" w:bidi="ar-SA"/>
    </w:rPr>
  </w:style>
  <w:style w:type="paragraph" w:customStyle="1" w:styleId="20">
    <w:name w:val="封面日期"/>
    <w:basedOn w:val="1"/>
    <w:qFormat/>
    <w:uiPriority w:val="0"/>
    <w:pPr>
      <w:autoSpaceDE/>
      <w:autoSpaceDN/>
      <w:spacing w:before="0" w:after="0" w:line="240" w:lineRule="auto"/>
      <w:ind w:left="0" w:right="0"/>
      <w:jc w:val="center"/>
    </w:pPr>
    <w:rPr>
      <w:rFonts w:ascii="黑体" w:hAnsi="Times New Roman" w:eastAsia="黑体" w:cs="Times New Roman"/>
      <w:kern w:val="2"/>
      <w:sz w:val="32"/>
      <w:szCs w:val="32"/>
      <w:lang w:val="en-US" w:bidi="ar-SA"/>
    </w:rPr>
  </w:style>
  <w:style w:type="paragraph" w:customStyle="1" w:styleId="21">
    <w:name w:val="论文标题"/>
    <w:basedOn w:val="1"/>
    <w:qFormat/>
    <w:uiPriority w:val="0"/>
    <w:pPr>
      <w:autoSpaceDE/>
      <w:autoSpaceDN/>
      <w:spacing w:before="0" w:after="0" w:line="240" w:lineRule="auto"/>
      <w:ind w:left="0" w:right="0"/>
      <w:jc w:val="center"/>
    </w:pPr>
    <w:rPr>
      <w:rFonts w:ascii="Times New Roman" w:hAnsi="Times New Roman" w:eastAsia="楷体_GB2312" w:cs="Times New Roman"/>
      <w:b/>
      <w:kern w:val="36"/>
      <w:sz w:val="52"/>
      <w:szCs w:val="52"/>
      <w:lang w:val="en-US" w:bidi="ar-SA"/>
    </w:rPr>
  </w:style>
  <w:style w:type="paragraph" w:customStyle="1" w:styleId="22">
    <w:name w:val="硕士学位论文"/>
    <w:basedOn w:val="1"/>
    <w:qFormat/>
    <w:uiPriority w:val="0"/>
    <w:pPr>
      <w:autoSpaceDE/>
      <w:autoSpaceDN/>
      <w:spacing w:before="240" w:after="0" w:line="240" w:lineRule="auto"/>
      <w:ind w:left="0" w:right="0"/>
      <w:jc w:val="center"/>
    </w:pPr>
    <w:rPr>
      <w:rFonts w:ascii="Times New Roman" w:hAnsi="Times New Roman" w:eastAsia="宋体" w:cs="Times New Roman"/>
      <w:kern w:val="2"/>
      <w:sz w:val="44"/>
      <w:szCs w:val="44"/>
      <w:lang w:val="en-US" w:bidi="ar-SA"/>
    </w:rPr>
  </w:style>
  <w:style w:type="paragraph" w:customStyle="1" w:styleId="23">
    <w:name w:val="研究生姓名"/>
    <w:basedOn w:val="1"/>
    <w:qFormat/>
    <w:uiPriority w:val="0"/>
    <w:pPr>
      <w:autoSpaceDE/>
      <w:autoSpaceDN/>
      <w:spacing w:before="0" w:after="0" w:line="240" w:lineRule="auto"/>
      <w:ind w:left="0" w:right="0" w:firstLine="700" w:firstLineChars="700"/>
      <w:jc w:val="both"/>
    </w:pPr>
    <w:rPr>
      <w:rFonts w:ascii="Times New Roman" w:hAnsi="Times New Roman" w:eastAsia="宋体" w:cs="Times New Roman"/>
      <w:kern w:val="2"/>
      <w:sz w:val="28"/>
      <w:szCs w:val="28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21</Pages>
  <Words>9531</Words>
  <Characters>10195</Characters>
  <Lines>1</Lines>
  <Paragraphs>1</Paragraphs>
  <TotalTime>1</TotalTime>
  <ScaleCrop>false</ScaleCrop>
  <LinksUpToDate>false</LinksUpToDate>
  <CharactersWithSpaces>10495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2019-12-26T09:26:00Z</dcterms:created>
  <dc:creator>xiaofei li</dc:creator>
  <cp:lastModifiedBy>陈琳</cp:lastModifiedBy>
  <cp:lastPrinted>2022-05-03T16:03:00Z</cp:lastPrinted>
  <dcterms:modified xsi:type="dcterms:W3CDTF">2022-05-04T04:51:44Z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D37C44BA55F4418BAC3519E20B1CC2B7</vt:lpwstr>
  </property>
  <property fmtid="{D5CDD505-2E9C-101B-9397-08002B2CF9AE}" pid="4" name="commondata">
    <vt:lpwstr>eyJoZGlkIjoiY2YxNzZmYTc3MzBiNzE5ZTZhODI3NzU4MWE5NGQxZGEifQ==</vt:lpwstr>
  </property>
</Properties>
</file>