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-2：</w:t>
      </w:r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（中央部门和地方使用格式）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各中央部门、各地方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</w:t>
      </w:r>
      <w:bookmarkStart w:id="0" w:name="_GoBack"/>
      <w:bookmarkEnd w:id="0"/>
      <w:r>
        <w:rPr>
          <w:rFonts w:hint="eastAsia" w:ascii="仿宋_GB2312"/>
          <w:sz w:val="24"/>
        </w:rPr>
        <w:t>、结构及增减变化情况。</w:t>
      </w:r>
    </w:p>
    <w:p>
      <w:pPr>
        <w:keepNext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（二）近三年主要财务指标及重要变化说明。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（一）资产负债情况分析。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重要资产变化及原因分析，包括应收账款、存货、无形资产、固定资产等。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>.</w:t>
      </w:r>
      <w:r>
        <w:rPr>
          <w:rFonts w:hint="eastAsia" w:ascii="宋体"/>
          <w:sz w:val="24"/>
        </w:rPr>
        <w:t>债务分析，包括负债结构、融资成本、债务风险等。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（二）所有者权益情况分析。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（一）收入利润分析。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盈利能力及经营增长情况分析。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成本费用管理情况分析。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（二）上交税费情况分析。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四、投资情况分析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（一）重要固定资产投资情况分析。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（二）股权投资情况分析。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（三）基金投资情况分析。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（四）境外投资情况分析。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五、重大事项说明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六、财务管理工作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七、有关问题及整改情况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八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九、财务会计决算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p>
      <w:pPr>
        <w:pStyle w:val="4"/>
        <w:rPr>
          <w:rFonts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4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5549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D7AF2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34E3D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46ED6FCB"/>
    <w:rsid w:val="6F485572"/>
    <w:rsid w:val="72B3F754"/>
    <w:rsid w:val="737BAB44"/>
    <w:rsid w:val="796BA424"/>
    <w:rsid w:val="7BFBD72E"/>
    <w:rsid w:val="7F3B5D30"/>
    <w:rsid w:val="7FFB7C43"/>
    <w:rsid w:val="D17369C6"/>
    <w:rsid w:val="EA1F4707"/>
    <w:rsid w:val="EEDF3A0A"/>
    <w:rsid w:val="F3F79BD4"/>
    <w:rsid w:val="F53FD2D3"/>
    <w:rsid w:val="FEFD7594"/>
    <w:rsid w:val="FEFD8788"/>
    <w:rsid w:val="FFDFD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0</TotalTime>
  <ScaleCrop>false</ScaleCrop>
  <LinksUpToDate>false</LinksUpToDate>
  <CharactersWithSpaces>1548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2019-09-19T03:12:00Z</dcterms:created>
  <dc:creator>wang shu</dc:creator>
  <cp:lastModifiedBy>lenovo</cp:lastModifiedBy>
  <cp:lastPrinted>2019-09-28T10:57:00Z</cp:lastPrinted>
  <dcterms:modified xsi:type="dcterms:W3CDTF">2023-02-14T09:13:35Z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