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rPr>
          <w:rFonts w:ascii="黑体" w:hAnsi="黑体" w:eastAsia="黑体" w:cs="仿宋_GB2312"/>
          <w:sz w:val="32"/>
          <w:szCs w:val="32"/>
        </w:rPr>
      </w:pPr>
      <w:r>
        <w:rPr>
          <w:rFonts w:hint="eastAsia" w:ascii="黑体" w:hAnsi="黑体" w:eastAsia="黑体" w:cs="仿宋_GB2312"/>
          <w:sz w:val="32"/>
          <w:szCs w:val="32"/>
        </w:rPr>
        <w:t>附件1</w:t>
      </w:r>
    </w:p>
    <w:p>
      <w:pPr>
        <w:widowControl/>
        <w:snapToGrid w:val="0"/>
        <w:spacing w:line="600" w:lineRule="exact"/>
        <w:jc w:val="center"/>
        <w:rPr>
          <w:rFonts w:cs="仿宋_GB2312" w:asciiTheme="majorEastAsia" w:hAnsiTheme="majorEastAsia" w:eastAsiaTheme="majorEastAsia"/>
          <w:b/>
          <w:sz w:val="44"/>
          <w:szCs w:val="44"/>
        </w:rPr>
      </w:pPr>
      <w:r>
        <w:rPr>
          <w:rFonts w:hint="eastAsia" w:ascii="方正小标宋简体" w:eastAsia="方正小标宋简体" w:cs="仿宋_GB2312" w:hAnsiTheme="majorEastAsia"/>
          <w:b w:val="0"/>
          <w:sz w:val="44"/>
          <w:szCs w:val="44"/>
        </w:rPr>
        <w:t>住房保障激励政策具体操作细则</w:t>
      </w:r>
    </w:p>
    <w:p>
      <w:pPr>
        <w:widowControl/>
        <w:snapToGrid w:val="0"/>
        <w:spacing w:line="600" w:lineRule="exact"/>
        <w:rPr>
          <w:rFonts w:ascii="仿宋_GB2312" w:hAnsi="仿宋" w:eastAsia="仿宋_GB2312" w:cs="仿宋_GB2312"/>
          <w:sz w:val="32"/>
          <w:szCs w:val="32"/>
        </w:rPr>
      </w:pPr>
    </w:p>
    <w:p>
      <w:pPr>
        <w:spacing w:line="600" w:lineRule="exact"/>
        <w:ind w:firstLine="600"/>
        <w:rPr>
          <w:rFonts w:ascii="黑体" w:hAnsi="黑体" w:eastAsia="黑体"/>
          <w:sz w:val="32"/>
          <w:szCs w:val="32"/>
        </w:rPr>
      </w:pPr>
      <w:r>
        <w:rPr>
          <w:rFonts w:hint="eastAsia" w:ascii="黑体" w:hAnsi="黑体" w:eastAsia="黑体"/>
          <w:sz w:val="32"/>
          <w:szCs w:val="32"/>
        </w:rPr>
        <w:t>一、人才公寓激励</w:t>
      </w:r>
    </w:p>
    <w:p>
      <w:pPr>
        <w:spacing w:line="600" w:lineRule="exact"/>
        <w:ind w:firstLine="600"/>
        <w:rPr>
          <w:rFonts w:ascii="仿宋_GB2312" w:eastAsia="仿宋_GB2312"/>
          <w:b/>
          <w:sz w:val="32"/>
          <w:szCs w:val="32"/>
        </w:rPr>
      </w:pPr>
      <w:r>
        <w:rPr>
          <w:rFonts w:hint="eastAsia" w:ascii="仿宋_GB2312" w:eastAsia="仿宋_GB2312"/>
          <w:b/>
          <w:sz w:val="32"/>
          <w:szCs w:val="32"/>
        </w:rPr>
        <w:t>1.对象范围</w:t>
      </w:r>
    </w:p>
    <w:p>
      <w:pPr>
        <w:spacing w:line="600" w:lineRule="exact"/>
        <w:ind w:firstLine="600"/>
        <w:rPr>
          <w:rFonts w:ascii="仿宋_GB2312" w:eastAsia="仿宋_GB2312"/>
          <w:sz w:val="32"/>
          <w:szCs w:val="32"/>
        </w:rPr>
      </w:pPr>
      <w:r>
        <w:rPr>
          <w:rFonts w:hint="eastAsia" w:ascii="仿宋_GB2312" w:eastAsia="仿宋_GB2312"/>
          <w:sz w:val="32"/>
          <w:szCs w:val="32"/>
        </w:rPr>
        <w:t>申请人同时符合以下条件：</w:t>
      </w:r>
    </w:p>
    <w:p>
      <w:pPr>
        <w:spacing w:line="600" w:lineRule="exact"/>
        <w:ind w:firstLine="600"/>
        <w:rPr>
          <w:rFonts w:ascii="仿宋_GB2312" w:eastAsia="仿宋_GB2312"/>
          <w:sz w:val="32"/>
          <w:szCs w:val="32"/>
        </w:rPr>
      </w:pPr>
      <w:r>
        <w:rPr>
          <w:rFonts w:hint="eastAsia" w:ascii="仿宋_GB2312" w:eastAsia="仿宋_GB2312"/>
          <w:sz w:val="32"/>
          <w:szCs w:val="32"/>
        </w:rPr>
        <w:t>（1）申请人所在养老机构</w:t>
      </w:r>
      <w:r>
        <w:rPr>
          <w:rFonts w:hint="eastAsia" w:ascii="仿宋_GB2312" w:eastAsia="仿宋_GB2312" w:hAnsiTheme="majorEastAsia"/>
          <w:bCs/>
          <w:sz w:val="32"/>
          <w:szCs w:val="32"/>
        </w:rPr>
        <w:t>上一年度服务质量日常监测结果为“优秀”（含免检）；</w:t>
      </w:r>
    </w:p>
    <w:p>
      <w:pPr>
        <w:spacing w:line="600" w:lineRule="exact"/>
        <w:ind w:firstLine="600"/>
        <w:rPr>
          <w:rFonts w:ascii="仿宋_GB2312" w:eastAsia="仿宋_GB2312"/>
          <w:sz w:val="32"/>
          <w:szCs w:val="32"/>
        </w:rPr>
      </w:pPr>
      <w:r>
        <w:rPr>
          <w:rFonts w:hint="eastAsia" w:ascii="仿宋_GB2312" w:eastAsia="仿宋_GB2312"/>
          <w:sz w:val="32"/>
          <w:szCs w:val="32"/>
        </w:rPr>
        <w:t>（2）持有《上海市居住证》或拥有本市户籍，在沪缴纳个人所得税及社会保险金，与本区养老机构签订二年及以上劳动合同，并经所在养老机构同意，由养老机构承租公共租赁住房；</w:t>
      </w:r>
    </w:p>
    <w:p>
      <w:pPr>
        <w:spacing w:line="600" w:lineRule="exact"/>
        <w:ind w:firstLine="600"/>
        <w:rPr>
          <w:rFonts w:ascii="仿宋_GB2312" w:eastAsia="仿宋_GB2312"/>
          <w:sz w:val="32"/>
          <w:szCs w:val="32"/>
        </w:rPr>
      </w:pPr>
      <w:r>
        <w:rPr>
          <w:rFonts w:hint="eastAsia" w:ascii="仿宋_GB2312" w:eastAsia="仿宋_GB2312"/>
          <w:sz w:val="32"/>
          <w:szCs w:val="32"/>
        </w:rPr>
        <w:t>（3）申请人本人、配偶及未成年子女在本市无产权住房，未同时申请、享受本市廉租住房、共有产权保障住房政策、市筹及区筹公共租赁住房等住房保障政策。</w:t>
      </w:r>
    </w:p>
    <w:p>
      <w:pPr>
        <w:spacing w:line="600" w:lineRule="exact"/>
        <w:ind w:firstLine="600"/>
        <w:rPr>
          <w:rFonts w:ascii="仿宋_GB2312" w:eastAsia="仿宋_GB2312"/>
          <w:sz w:val="32"/>
          <w:szCs w:val="32"/>
        </w:rPr>
      </w:pPr>
      <w:r>
        <w:rPr>
          <w:rFonts w:hint="eastAsia" w:ascii="仿宋_GB2312" w:eastAsia="仿宋_GB2312"/>
          <w:sz w:val="32"/>
          <w:szCs w:val="32"/>
        </w:rPr>
        <w:t>（4）申请人须同时符合杨浦区公共租赁住房相关审核条件。</w:t>
      </w:r>
    </w:p>
    <w:p>
      <w:pPr>
        <w:spacing w:line="600" w:lineRule="exact"/>
        <w:ind w:firstLine="600"/>
        <w:rPr>
          <w:rFonts w:ascii="仿宋_GB2312" w:eastAsia="仿宋_GB2312"/>
          <w:sz w:val="32"/>
          <w:szCs w:val="32"/>
        </w:rPr>
      </w:pPr>
      <w:r>
        <w:rPr>
          <w:rFonts w:hint="eastAsia" w:ascii="仿宋_GB2312" w:eastAsia="仿宋_GB2312"/>
          <w:b/>
          <w:sz w:val="32"/>
          <w:szCs w:val="32"/>
        </w:rPr>
        <w:t>2.激励标准</w:t>
      </w:r>
    </w:p>
    <w:p>
      <w:pPr>
        <w:spacing w:line="600" w:lineRule="exact"/>
        <w:ind w:firstLine="600"/>
        <w:rPr>
          <w:rFonts w:ascii="仿宋_GB2312" w:eastAsia="仿宋_GB2312"/>
          <w:sz w:val="32"/>
          <w:szCs w:val="32"/>
        </w:rPr>
      </w:pPr>
      <w:r>
        <w:rPr>
          <w:rFonts w:hint="eastAsia" w:ascii="仿宋_GB2312" w:eastAsia="仿宋_GB2312"/>
          <w:sz w:val="32"/>
          <w:szCs w:val="32"/>
        </w:rPr>
        <w:t>参照杨浦人才公寓相关规定，对符合条件的养老护理核心骨干给予入住人才公寓名额，并享受基础租赁价格的7折优惠。人才公寓租赁采取先到先得、轮候等待的方式申请租赁。</w:t>
      </w:r>
    </w:p>
    <w:p>
      <w:pPr>
        <w:spacing w:line="600" w:lineRule="exact"/>
        <w:ind w:firstLine="600"/>
        <w:rPr>
          <w:rFonts w:ascii="仿宋_GB2312" w:eastAsia="仿宋_GB2312"/>
          <w:b/>
          <w:sz w:val="32"/>
          <w:szCs w:val="32"/>
        </w:rPr>
      </w:pPr>
      <w:r>
        <w:rPr>
          <w:rFonts w:hint="eastAsia" w:ascii="仿宋_GB2312" w:eastAsia="仿宋_GB2312"/>
          <w:b/>
          <w:sz w:val="32"/>
          <w:szCs w:val="32"/>
        </w:rPr>
        <w:t>3.租赁期限</w:t>
      </w:r>
    </w:p>
    <w:p>
      <w:pPr>
        <w:spacing w:line="600" w:lineRule="exact"/>
        <w:ind w:firstLine="600"/>
        <w:rPr>
          <w:rFonts w:ascii="仿宋_GB2312" w:eastAsia="仿宋_GB2312"/>
          <w:sz w:val="32"/>
          <w:szCs w:val="32"/>
        </w:rPr>
      </w:pPr>
      <w:r>
        <w:rPr>
          <w:rFonts w:hint="eastAsia" w:ascii="仿宋_GB2312" w:eastAsia="仿宋_GB2312"/>
          <w:sz w:val="32"/>
          <w:szCs w:val="32"/>
        </w:rPr>
        <w:t>租赁合同签订期限一般为1年，合同到期后承租人仍需租赁的，进行资格复审，符合条件可续租，租赁总长一般不超过3年，最长不超过6年。</w:t>
      </w:r>
    </w:p>
    <w:p>
      <w:pPr>
        <w:spacing w:line="600" w:lineRule="exact"/>
        <w:ind w:firstLine="600"/>
        <w:rPr>
          <w:rFonts w:ascii="黑体" w:hAnsi="黑体" w:eastAsia="黑体"/>
          <w:sz w:val="32"/>
          <w:szCs w:val="32"/>
        </w:rPr>
      </w:pPr>
      <w:r>
        <w:rPr>
          <w:rFonts w:hint="eastAsia" w:ascii="黑体" w:hAnsi="黑体" w:eastAsia="黑体"/>
          <w:sz w:val="32"/>
          <w:szCs w:val="32"/>
        </w:rPr>
        <w:t>二、区统筹公租房拆套供应激励</w:t>
      </w:r>
    </w:p>
    <w:p>
      <w:pPr>
        <w:spacing w:line="600" w:lineRule="exact"/>
        <w:ind w:firstLine="600"/>
        <w:rPr>
          <w:rFonts w:ascii="仿宋_GB2312" w:eastAsia="仿宋_GB2312"/>
          <w:b/>
          <w:sz w:val="32"/>
          <w:szCs w:val="32"/>
        </w:rPr>
      </w:pPr>
      <w:r>
        <w:rPr>
          <w:rFonts w:hint="eastAsia" w:ascii="仿宋_GB2312" w:eastAsia="仿宋_GB2312"/>
          <w:b/>
          <w:sz w:val="32"/>
          <w:szCs w:val="32"/>
        </w:rPr>
        <w:t>1.文件依据</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《上海市房屋管理局关于进一步加大公共服务类重点行业企业一线职工公租房保障力度试点工作的通知》（沪房保障</w:t>
      </w:r>
      <w:r>
        <w:rPr>
          <w:rFonts w:ascii="仿宋_GB2312" w:eastAsia="仿宋_GB2312"/>
          <w:sz w:val="32"/>
          <w:szCs w:val="32"/>
        </w:rPr>
        <w:t>〔2020〕</w:t>
      </w:r>
      <w:r>
        <w:rPr>
          <w:rFonts w:hint="eastAsia" w:ascii="仿宋_GB2312" w:hAnsi="仿宋" w:eastAsia="仿宋_GB2312" w:cs="仿宋"/>
          <w:sz w:val="32"/>
          <w:szCs w:val="32"/>
        </w:rPr>
        <w:t>67号）等相关文件。</w:t>
      </w:r>
    </w:p>
    <w:p>
      <w:pPr>
        <w:spacing w:line="600" w:lineRule="exact"/>
        <w:ind w:firstLine="600"/>
        <w:rPr>
          <w:rFonts w:ascii="仿宋_GB2312" w:eastAsia="仿宋_GB2312"/>
          <w:b/>
          <w:sz w:val="32"/>
          <w:szCs w:val="32"/>
        </w:rPr>
      </w:pPr>
      <w:r>
        <w:rPr>
          <w:rFonts w:hint="eastAsia" w:ascii="仿宋_GB2312" w:eastAsia="仿宋_GB2312"/>
          <w:b/>
          <w:sz w:val="32"/>
          <w:szCs w:val="32"/>
        </w:rPr>
        <w:t>2.对象范围</w:t>
      </w:r>
    </w:p>
    <w:p>
      <w:pPr>
        <w:spacing w:line="600" w:lineRule="exact"/>
        <w:ind w:firstLine="600"/>
        <w:rPr>
          <w:rFonts w:ascii="仿宋_GB2312" w:eastAsia="仿宋_GB2312"/>
          <w:sz w:val="32"/>
          <w:szCs w:val="32"/>
        </w:rPr>
      </w:pPr>
      <w:r>
        <w:rPr>
          <w:rFonts w:hint="eastAsia" w:ascii="仿宋_GB2312" w:eastAsia="仿宋_GB2312"/>
          <w:sz w:val="32"/>
          <w:szCs w:val="32"/>
        </w:rPr>
        <w:t>申请人同时符合以下条件：</w:t>
      </w:r>
    </w:p>
    <w:p>
      <w:pPr>
        <w:spacing w:line="600" w:lineRule="exact"/>
        <w:ind w:firstLine="600"/>
        <w:rPr>
          <w:rFonts w:ascii="仿宋_GB2312" w:eastAsia="仿宋_GB2312"/>
          <w:sz w:val="32"/>
          <w:szCs w:val="32"/>
        </w:rPr>
      </w:pPr>
      <w:r>
        <w:rPr>
          <w:rFonts w:hint="eastAsia" w:ascii="仿宋_GB2312" w:eastAsia="仿宋_GB2312"/>
          <w:sz w:val="32"/>
          <w:szCs w:val="32"/>
        </w:rPr>
        <w:t>（1）申请人所在养老机构获得上一年度服务质量日常监测结果为“良好”及以上；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（2）所在养老机构同意承租区统筹公共租赁住房；</w:t>
      </w:r>
    </w:p>
    <w:p>
      <w:pPr>
        <w:pStyle w:val="10"/>
        <w:spacing w:before="0" w:beforeAutospacing="0" w:after="0" w:afterAutospacing="0" w:line="60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（3）本市户籍或持有有效期内《上海市居住证》，在沪缴纳社会保险金，与本区单位签订一年及以上劳动合同（《上海市居住证》可由单位承诺在一年内后补）；</w:t>
      </w:r>
    </w:p>
    <w:p>
      <w:pPr>
        <w:pStyle w:val="10"/>
        <w:spacing w:before="0" w:beforeAutospacing="0" w:after="0" w:afterAutospacing="0" w:line="600" w:lineRule="exact"/>
        <w:ind w:firstLine="640" w:firstLineChars="20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 xml:space="preserve">（4）在本市人均住房建筑面积低于15平方米；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（5）未同时申请、享受本市廉租住房、共有产权保障住房政策、市筹及其他区筹公共租赁住房等住房保障政策；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（6）如之前已申请过本市、区公共租赁住房的，其租赁年限须一并计入且须符合本市公租房租赁年限相关政策。</w:t>
      </w:r>
    </w:p>
    <w:p>
      <w:pPr>
        <w:spacing w:line="580" w:lineRule="exact"/>
        <w:ind w:firstLine="601"/>
        <w:rPr>
          <w:rFonts w:ascii="仿宋_GB2312" w:eastAsia="仿宋_GB2312"/>
          <w:sz w:val="32"/>
          <w:szCs w:val="32"/>
        </w:rPr>
      </w:pPr>
      <w:r>
        <w:rPr>
          <w:rFonts w:hint="eastAsia" w:ascii="仿宋_GB2312" w:eastAsia="仿宋_GB2312"/>
          <w:b/>
          <w:sz w:val="32"/>
          <w:szCs w:val="32"/>
        </w:rPr>
        <w:t>3.房源保障</w:t>
      </w:r>
    </w:p>
    <w:p>
      <w:pPr>
        <w:spacing w:line="580" w:lineRule="exact"/>
        <w:ind w:firstLine="601"/>
        <w:rPr>
          <w:rFonts w:ascii="仿宋_GB2312" w:eastAsia="仿宋_GB2312"/>
          <w:sz w:val="32"/>
          <w:szCs w:val="32"/>
        </w:rPr>
      </w:pPr>
      <w:r>
        <w:rPr>
          <w:rFonts w:hint="eastAsia" w:ascii="仿宋_GB2312" w:eastAsia="仿宋_GB2312"/>
          <w:sz w:val="32"/>
          <w:szCs w:val="32"/>
        </w:rPr>
        <w:t>区公共租赁住房运营管理有限公司提供拆套租赁的公租房房源，</w:t>
      </w:r>
      <w:r>
        <w:rPr>
          <w:rFonts w:hint="eastAsia" w:ascii="仿宋_GB2312" w:hAnsi="仿宋" w:eastAsia="仿宋_GB2312" w:cs="仿宋"/>
          <w:sz w:val="32"/>
          <w:szCs w:val="32"/>
        </w:rPr>
        <w:t>租赁价格根据公租房相关优惠政策执行，</w:t>
      </w:r>
      <w:r>
        <w:rPr>
          <w:rFonts w:hint="eastAsia" w:ascii="仿宋_GB2312" w:eastAsia="仿宋_GB2312"/>
          <w:sz w:val="32"/>
          <w:szCs w:val="32"/>
        </w:rPr>
        <w:t>主要用于向本区公共服务类重点行业企业一线职工提供公租房支持保障。</w:t>
      </w:r>
    </w:p>
    <w:p>
      <w:pPr>
        <w:spacing w:line="580" w:lineRule="exact"/>
        <w:ind w:firstLine="601"/>
        <w:rPr>
          <w:rFonts w:ascii="仿宋_GB2312" w:eastAsia="仿宋_GB2312"/>
          <w:b/>
          <w:sz w:val="32"/>
          <w:szCs w:val="32"/>
        </w:rPr>
      </w:pPr>
      <w:r>
        <w:rPr>
          <w:rFonts w:hint="eastAsia" w:ascii="仿宋_GB2312" w:eastAsia="仿宋_GB2312"/>
          <w:b/>
          <w:sz w:val="32"/>
          <w:szCs w:val="32"/>
        </w:rPr>
        <w:t>4.租赁期限</w:t>
      </w:r>
    </w:p>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租赁合同期限一般为1年，合同到期后承租人仍需租赁的，进行资格复审，符合条件可续租，租赁总年限一般不超过6年。</w:t>
      </w: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p>
    <w:p>
      <w:pPr>
        <w:widowControl/>
        <w:snapToGrid w:val="0"/>
        <w:spacing w:line="600" w:lineRule="exact"/>
        <w:rPr>
          <w:rFonts w:hint="eastAsia" w:ascii="仿宋_GB2312" w:hAnsi="仿宋" w:eastAsia="仿宋_GB2312" w:cs="仿宋_GB2312"/>
          <w:sz w:val="32"/>
          <w:szCs w:val="32"/>
        </w:rPr>
      </w:pPr>
    </w:p>
    <w:p>
      <w:pPr>
        <w:widowControl/>
        <w:snapToGrid w:val="0"/>
        <w:spacing w:line="600" w:lineRule="exact"/>
        <w:rPr>
          <w:rFonts w:hint="eastAsia" w:ascii="仿宋_GB2312" w:hAnsi="仿宋" w:eastAsia="仿宋_GB2312" w:cs="仿宋_GB2312"/>
          <w:sz w:val="32"/>
          <w:szCs w:val="32"/>
        </w:rPr>
      </w:pPr>
    </w:p>
    <w:p>
      <w:pPr>
        <w:widowControl/>
        <w:snapToGrid w:val="0"/>
        <w:spacing w:line="600" w:lineRule="exact"/>
        <w:rPr>
          <w:rFonts w:ascii="仿宋_GB2312" w:hAnsi="仿宋" w:eastAsia="仿宋_GB2312" w:cs="仿宋_GB2312"/>
          <w:sz w:val="32"/>
          <w:szCs w:val="32"/>
        </w:rPr>
      </w:pPr>
      <w:bookmarkStart w:id="0" w:name="_GoBack"/>
      <w:bookmarkEnd w:id="0"/>
    </w:p>
    <w:p>
      <w:pPr>
        <w:widowControl/>
        <w:snapToGrid w:val="0"/>
        <w:spacing w:line="400" w:lineRule="exact"/>
        <w:rPr>
          <w:rFonts w:ascii="仿宋_GB2312" w:hAnsi="黑体" w:eastAsia="仿宋_GB2312" w:cs="仿宋_GB2312"/>
          <w:sz w:val="24"/>
          <w:szCs w:val="24"/>
        </w:rPr>
      </w:pPr>
    </w:p>
    <w:sectPr>
      <w:headerReference r:id="rId3" w:type="default"/>
      <w:footerReference r:id="rId4" w:type="default"/>
      <w:pgSz w:w="11906" w:h="16838"/>
      <w:pgMar w:top="2098" w:right="1418" w:bottom="209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03092"/>
    </w:sdtPr>
    <w:sdtContent>
      <w:p>
        <w:pPr>
          <w:pStyle w:val="7"/>
          <w:jc w:val="center"/>
        </w:pPr>
        <w:r>
          <w:rPr>
            <w:rFonts w:hint="eastAsia" w:ascii="仿宋_GB2312" w:eastAsia="仿宋_GB2312"/>
            <w:sz w:val="30"/>
            <w:szCs w:val="30"/>
          </w:rPr>
          <w:t>-</w:t>
        </w: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lang w:val="zh-CN"/>
          </w:rPr>
          <w:t>2</w:t>
        </w:r>
        <w:r>
          <w:rPr>
            <w:rFonts w:hint="eastAsia" w:ascii="仿宋_GB2312" w:eastAsia="仿宋_GB2312"/>
            <w:sz w:val="30"/>
            <w:szCs w:val="30"/>
          </w:rPr>
          <w:fldChar w:fldCharType="end"/>
        </w:r>
        <w:r>
          <w:rPr>
            <w:rFonts w:hint="eastAsia" w:ascii="仿宋_GB2312" w:eastAsia="仿宋_GB2312"/>
            <w:sz w:val="30"/>
            <w:szCs w:val="30"/>
          </w:rPr>
          <w:t>-</w:t>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414985"/>
    <w:rsid w:val="00013079"/>
    <w:rsid w:val="00015731"/>
    <w:rsid w:val="000248C0"/>
    <w:rsid w:val="00026973"/>
    <w:rsid w:val="000578A5"/>
    <w:rsid w:val="00086AA2"/>
    <w:rsid w:val="00095C34"/>
    <w:rsid w:val="000C6880"/>
    <w:rsid w:val="000D25B8"/>
    <w:rsid w:val="000F246E"/>
    <w:rsid w:val="000F703B"/>
    <w:rsid w:val="00114B03"/>
    <w:rsid w:val="00131468"/>
    <w:rsid w:val="001332D3"/>
    <w:rsid w:val="00135EAC"/>
    <w:rsid w:val="00136ECF"/>
    <w:rsid w:val="00141D66"/>
    <w:rsid w:val="00143AD2"/>
    <w:rsid w:val="00143D0A"/>
    <w:rsid w:val="00167774"/>
    <w:rsid w:val="00174370"/>
    <w:rsid w:val="001757D0"/>
    <w:rsid w:val="0017623D"/>
    <w:rsid w:val="00177F46"/>
    <w:rsid w:val="00181005"/>
    <w:rsid w:val="00183DD5"/>
    <w:rsid w:val="001872CA"/>
    <w:rsid w:val="00192F83"/>
    <w:rsid w:val="001A0BB5"/>
    <w:rsid w:val="001B621D"/>
    <w:rsid w:val="001C6BA3"/>
    <w:rsid w:val="001D1601"/>
    <w:rsid w:val="001D7702"/>
    <w:rsid w:val="001E70A3"/>
    <w:rsid w:val="002113B3"/>
    <w:rsid w:val="00215680"/>
    <w:rsid w:val="002175DD"/>
    <w:rsid w:val="00221FE0"/>
    <w:rsid w:val="00222A13"/>
    <w:rsid w:val="00230FE3"/>
    <w:rsid w:val="00234469"/>
    <w:rsid w:val="00251BA1"/>
    <w:rsid w:val="0026053D"/>
    <w:rsid w:val="002636B8"/>
    <w:rsid w:val="002A10D4"/>
    <w:rsid w:val="002A700D"/>
    <w:rsid w:val="002A74CD"/>
    <w:rsid w:val="002C6B35"/>
    <w:rsid w:val="002D473D"/>
    <w:rsid w:val="002E30D6"/>
    <w:rsid w:val="00316284"/>
    <w:rsid w:val="00326FF9"/>
    <w:rsid w:val="003310C2"/>
    <w:rsid w:val="00331DAC"/>
    <w:rsid w:val="00346A52"/>
    <w:rsid w:val="00360A94"/>
    <w:rsid w:val="00362466"/>
    <w:rsid w:val="00377464"/>
    <w:rsid w:val="003847D6"/>
    <w:rsid w:val="003A3CAD"/>
    <w:rsid w:val="003B14A8"/>
    <w:rsid w:val="003E6638"/>
    <w:rsid w:val="003E7CCF"/>
    <w:rsid w:val="003F1D58"/>
    <w:rsid w:val="003F2F58"/>
    <w:rsid w:val="0040028B"/>
    <w:rsid w:val="00413904"/>
    <w:rsid w:val="00414985"/>
    <w:rsid w:val="004161A6"/>
    <w:rsid w:val="00421FFF"/>
    <w:rsid w:val="00440DA4"/>
    <w:rsid w:val="0044436D"/>
    <w:rsid w:val="00444667"/>
    <w:rsid w:val="00481BDB"/>
    <w:rsid w:val="00481EA6"/>
    <w:rsid w:val="00485E62"/>
    <w:rsid w:val="00487215"/>
    <w:rsid w:val="00492A7A"/>
    <w:rsid w:val="00493D13"/>
    <w:rsid w:val="004B041E"/>
    <w:rsid w:val="004B07FE"/>
    <w:rsid w:val="004B3E1F"/>
    <w:rsid w:val="004B4CBC"/>
    <w:rsid w:val="004B4E5D"/>
    <w:rsid w:val="004D2544"/>
    <w:rsid w:val="004E1BD5"/>
    <w:rsid w:val="004E2BF7"/>
    <w:rsid w:val="00507A25"/>
    <w:rsid w:val="00515E1A"/>
    <w:rsid w:val="00520166"/>
    <w:rsid w:val="00520737"/>
    <w:rsid w:val="005220A0"/>
    <w:rsid w:val="00527F59"/>
    <w:rsid w:val="00533182"/>
    <w:rsid w:val="00542653"/>
    <w:rsid w:val="00552B04"/>
    <w:rsid w:val="00554CB7"/>
    <w:rsid w:val="00570F92"/>
    <w:rsid w:val="00571A2A"/>
    <w:rsid w:val="005724CE"/>
    <w:rsid w:val="005763CD"/>
    <w:rsid w:val="00586995"/>
    <w:rsid w:val="00592EDF"/>
    <w:rsid w:val="005C49E7"/>
    <w:rsid w:val="005E1F5D"/>
    <w:rsid w:val="005F465E"/>
    <w:rsid w:val="005F66B6"/>
    <w:rsid w:val="005F6953"/>
    <w:rsid w:val="00602508"/>
    <w:rsid w:val="00603FDE"/>
    <w:rsid w:val="0061285F"/>
    <w:rsid w:val="00617085"/>
    <w:rsid w:val="00621971"/>
    <w:rsid w:val="00623094"/>
    <w:rsid w:val="00632CA8"/>
    <w:rsid w:val="00640CE4"/>
    <w:rsid w:val="00644273"/>
    <w:rsid w:val="00646CE4"/>
    <w:rsid w:val="00651C2D"/>
    <w:rsid w:val="0065201C"/>
    <w:rsid w:val="00652757"/>
    <w:rsid w:val="00663AE0"/>
    <w:rsid w:val="0067294E"/>
    <w:rsid w:val="006733EF"/>
    <w:rsid w:val="00675EE9"/>
    <w:rsid w:val="00680944"/>
    <w:rsid w:val="0069082A"/>
    <w:rsid w:val="00693168"/>
    <w:rsid w:val="00697343"/>
    <w:rsid w:val="006B33C1"/>
    <w:rsid w:val="006F7CDD"/>
    <w:rsid w:val="00700805"/>
    <w:rsid w:val="00705A8A"/>
    <w:rsid w:val="00706B6F"/>
    <w:rsid w:val="00747BE7"/>
    <w:rsid w:val="007507EB"/>
    <w:rsid w:val="00766809"/>
    <w:rsid w:val="007711C2"/>
    <w:rsid w:val="00771E35"/>
    <w:rsid w:val="00780FC5"/>
    <w:rsid w:val="00782C10"/>
    <w:rsid w:val="00784119"/>
    <w:rsid w:val="007A1B8A"/>
    <w:rsid w:val="007A287D"/>
    <w:rsid w:val="007D3D0E"/>
    <w:rsid w:val="007E7AE7"/>
    <w:rsid w:val="00804B6D"/>
    <w:rsid w:val="00806F9C"/>
    <w:rsid w:val="00810251"/>
    <w:rsid w:val="00812215"/>
    <w:rsid w:val="008173FA"/>
    <w:rsid w:val="00823512"/>
    <w:rsid w:val="00825F4F"/>
    <w:rsid w:val="00847C52"/>
    <w:rsid w:val="00850DF7"/>
    <w:rsid w:val="00851C69"/>
    <w:rsid w:val="00854688"/>
    <w:rsid w:val="00854A62"/>
    <w:rsid w:val="00863804"/>
    <w:rsid w:val="00875B0D"/>
    <w:rsid w:val="008805DD"/>
    <w:rsid w:val="008869A4"/>
    <w:rsid w:val="00896F63"/>
    <w:rsid w:val="008B4714"/>
    <w:rsid w:val="008C6791"/>
    <w:rsid w:val="008D537F"/>
    <w:rsid w:val="008D6808"/>
    <w:rsid w:val="008E0D92"/>
    <w:rsid w:val="008E12C9"/>
    <w:rsid w:val="008E4F76"/>
    <w:rsid w:val="008E672A"/>
    <w:rsid w:val="008F656D"/>
    <w:rsid w:val="009138BE"/>
    <w:rsid w:val="00920F6C"/>
    <w:rsid w:val="009425EF"/>
    <w:rsid w:val="00947624"/>
    <w:rsid w:val="00954C79"/>
    <w:rsid w:val="00957D1F"/>
    <w:rsid w:val="0096175C"/>
    <w:rsid w:val="009618CF"/>
    <w:rsid w:val="00970A23"/>
    <w:rsid w:val="00980A6E"/>
    <w:rsid w:val="00990CC8"/>
    <w:rsid w:val="00992C0C"/>
    <w:rsid w:val="009A4E19"/>
    <w:rsid w:val="009B33CD"/>
    <w:rsid w:val="009B7246"/>
    <w:rsid w:val="009C1F42"/>
    <w:rsid w:val="009C73DA"/>
    <w:rsid w:val="009D2078"/>
    <w:rsid w:val="009E5966"/>
    <w:rsid w:val="009E59B2"/>
    <w:rsid w:val="009F33EB"/>
    <w:rsid w:val="00A02A34"/>
    <w:rsid w:val="00A100D5"/>
    <w:rsid w:val="00A20A8A"/>
    <w:rsid w:val="00A218F7"/>
    <w:rsid w:val="00A2600F"/>
    <w:rsid w:val="00A3262F"/>
    <w:rsid w:val="00A43984"/>
    <w:rsid w:val="00A54EFE"/>
    <w:rsid w:val="00A64159"/>
    <w:rsid w:val="00A72D00"/>
    <w:rsid w:val="00A76029"/>
    <w:rsid w:val="00A818C8"/>
    <w:rsid w:val="00A91E24"/>
    <w:rsid w:val="00A950FF"/>
    <w:rsid w:val="00A96A42"/>
    <w:rsid w:val="00AB6BE7"/>
    <w:rsid w:val="00AC0B5B"/>
    <w:rsid w:val="00AC5475"/>
    <w:rsid w:val="00AE6B92"/>
    <w:rsid w:val="00AF47C3"/>
    <w:rsid w:val="00AF5D1C"/>
    <w:rsid w:val="00B1131E"/>
    <w:rsid w:val="00B31298"/>
    <w:rsid w:val="00B3200B"/>
    <w:rsid w:val="00B54246"/>
    <w:rsid w:val="00B7070B"/>
    <w:rsid w:val="00B75013"/>
    <w:rsid w:val="00B86020"/>
    <w:rsid w:val="00B95E0E"/>
    <w:rsid w:val="00BA271B"/>
    <w:rsid w:val="00BA708C"/>
    <w:rsid w:val="00BB536A"/>
    <w:rsid w:val="00BE1E89"/>
    <w:rsid w:val="00BE4E05"/>
    <w:rsid w:val="00BE582D"/>
    <w:rsid w:val="00C16998"/>
    <w:rsid w:val="00C16B69"/>
    <w:rsid w:val="00C17F22"/>
    <w:rsid w:val="00C2618C"/>
    <w:rsid w:val="00C341F1"/>
    <w:rsid w:val="00C449EC"/>
    <w:rsid w:val="00C52C60"/>
    <w:rsid w:val="00C6436C"/>
    <w:rsid w:val="00C74621"/>
    <w:rsid w:val="00C82AEA"/>
    <w:rsid w:val="00C848D2"/>
    <w:rsid w:val="00C970B7"/>
    <w:rsid w:val="00CA3430"/>
    <w:rsid w:val="00CA5DFA"/>
    <w:rsid w:val="00CB25F7"/>
    <w:rsid w:val="00CB4800"/>
    <w:rsid w:val="00CD3C6B"/>
    <w:rsid w:val="00CD5E80"/>
    <w:rsid w:val="00CE2705"/>
    <w:rsid w:val="00CE3003"/>
    <w:rsid w:val="00D05192"/>
    <w:rsid w:val="00D144C4"/>
    <w:rsid w:val="00D26303"/>
    <w:rsid w:val="00D32818"/>
    <w:rsid w:val="00D3312D"/>
    <w:rsid w:val="00D62462"/>
    <w:rsid w:val="00D6533B"/>
    <w:rsid w:val="00D8634D"/>
    <w:rsid w:val="00D96EE5"/>
    <w:rsid w:val="00D97E0E"/>
    <w:rsid w:val="00DA0CF1"/>
    <w:rsid w:val="00DB024B"/>
    <w:rsid w:val="00DC296B"/>
    <w:rsid w:val="00DC72CA"/>
    <w:rsid w:val="00DF066D"/>
    <w:rsid w:val="00E16AD6"/>
    <w:rsid w:val="00E20D7D"/>
    <w:rsid w:val="00E23015"/>
    <w:rsid w:val="00E27F8F"/>
    <w:rsid w:val="00E4359D"/>
    <w:rsid w:val="00E51EC3"/>
    <w:rsid w:val="00E75481"/>
    <w:rsid w:val="00E770B1"/>
    <w:rsid w:val="00E83507"/>
    <w:rsid w:val="00E843ED"/>
    <w:rsid w:val="00EB097B"/>
    <w:rsid w:val="00EB10AD"/>
    <w:rsid w:val="00EB49D6"/>
    <w:rsid w:val="00EC322B"/>
    <w:rsid w:val="00EC58D3"/>
    <w:rsid w:val="00ED0BB0"/>
    <w:rsid w:val="00ED62E5"/>
    <w:rsid w:val="00ED7F1D"/>
    <w:rsid w:val="00EF525F"/>
    <w:rsid w:val="00F01315"/>
    <w:rsid w:val="00F0756C"/>
    <w:rsid w:val="00F1499D"/>
    <w:rsid w:val="00F43D7A"/>
    <w:rsid w:val="00F5381E"/>
    <w:rsid w:val="00F723FD"/>
    <w:rsid w:val="00F75232"/>
    <w:rsid w:val="00F758FF"/>
    <w:rsid w:val="00F832B6"/>
    <w:rsid w:val="00F86BBF"/>
    <w:rsid w:val="00F91336"/>
    <w:rsid w:val="00FB0EF2"/>
    <w:rsid w:val="00FC574E"/>
    <w:rsid w:val="00FD170C"/>
    <w:rsid w:val="00FD6D22"/>
    <w:rsid w:val="00FE3085"/>
    <w:rsid w:val="00FF3451"/>
    <w:rsid w:val="00FF5A4D"/>
    <w:rsid w:val="00FF65F6"/>
    <w:rsid w:val="02ED45BC"/>
    <w:rsid w:val="09B5177D"/>
    <w:rsid w:val="0CBF11BF"/>
    <w:rsid w:val="14F5413C"/>
    <w:rsid w:val="17F92A0B"/>
    <w:rsid w:val="18A755F8"/>
    <w:rsid w:val="1C7E779B"/>
    <w:rsid w:val="1FDE2F8A"/>
    <w:rsid w:val="20620634"/>
    <w:rsid w:val="2E427410"/>
    <w:rsid w:val="31C239D2"/>
    <w:rsid w:val="4F333092"/>
    <w:rsid w:val="5B766B03"/>
    <w:rsid w:val="64D93A03"/>
    <w:rsid w:val="652A0E9F"/>
    <w:rsid w:val="663A470A"/>
    <w:rsid w:val="68CD2DF1"/>
    <w:rsid w:val="6BCC1AEC"/>
    <w:rsid w:val="6BFA38B5"/>
    <w:rsid w:val="6E9A16E2"/>
    <w:rsid w:val="6EBA5BC5"/>
    <w:rsid w:val="72C007E8"/>
    <w:rsid w:val="775D0A18"/>
    <w:rsid w:val="784E7EEE"/>
    <w:rsid w:val="792A70D5"/>
    <w:rsid w:val="7D78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lock Text"/>
    <w:basedOn w:val="1"/>
    <w:qFormat/>
    <w:uiPriority w:val="0"/>
    <w:pPr>
      <w:ind w:left="1440" w:leftChars="700" w:right="700" w:rightChars="700"/>
    </w:pPr>
    <w:rPr>
      <w:rFonts w:ascii="Times New Roman" w:hAnsi="Times New Roman" w:eastAsia="宋体" w:cs="Times New Roman"/>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3"/>
    <w:semiHidden/>
    <w:unhideWhenUsed/>
    <w:qFormat/>
    <w:uiPriority w:val="99"/>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8"/>
    <w:qFormat/>
    <w:uiPriority w:val="99"/>
    <w:rPr>
      <w:sz w:val="18"/>
      <w:szCs w:val="18"/>
    </w:rPr>
  </w:style>
  <w:style w:type="character" w:customStyle="1" w:styleId="17">
    <w:name w:val="页脚 Char"/>
    <w:basedOn w:val="14"/>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HTML 预设格式 Char"/>
    <w:basedOn w:val="14"/>
    <w:link w:val="9"/>
    <w:semiHidden/>
    <w:qFormat/>
    <w:uiPriority w:val="99"/>
    <w:rPr>
      <w:rFonts w:ascii="宋体" w:hAnsi="宋体" w:eastAsia="宋体" w:cs="宋体"/>
      <w:kern w:val="0"/>
      <w:sz w:val="24"/>
      <w:szCs w:val="24"/>
    </w:rPr>
  </w:style>
  <w:style w:type="character" w:customStyle="1" w:styleId="20">
    <w:name w:val="批注框文本 Char"/>
    <w:basedOn w:val="14"/>
    <w:link w:val="6"/>
    <w:semiHidden/>
    <w:qFormat/>
    <w:uiPriority w:val="99"/>
    <w:rPr>
      <w:sz w:val="18"/>
      <w:szCs w:val="18"/>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Char"/>
    <w:basedOn w:val="14"/>
    <w:link w:val="3"/>
    <w:semiHidden/>
    <w:qFormat/>
    <w:uiPriority w:val="99"/>
    <w:rPr>
      <w:rFonts w:asciiTheme="minorHAnsi" w:hAnsiTheme="minorHAnsi" w:eastAsiaTheme="minorEastAsia" w:cstheme="minorBidi"/>
      <w:kern w:val="2"/>
      <w:sz w:val="21"/>
      <w:szCs w:val="22"/>
    </w:rPr>
  </w:style>
  <w:style w:type="character" w:customStyle="1" w:styleId="23">
    <w:name w:val="批注主题 Char"/>
    <w:basedOn w:val="22"/>
    <w:link w:val="11"/>
    <w:semiHidden/>
    <w:qFormat/>
    <w:uiPriority w:val="99"/>
    <w:rPr>
      <w:rFonts w:asciiTheme="minorHAnsi" w:hAnsiTheme="minorHAnsi" w:eastAsiaTheme="minorEastAsia" w:cstheme="minorBidi"/>
      <w:b/>
      <w:bCs/>
      <w:kern w:val="2"/>
      <w:sz w:val="21"/>
      <w:szCs w:val="22"/>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8164-FE4A-4701-9E22-4B9C7BF8B0B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1496</Words>
  <Characters>8533</Characters>
  <Lines>71</Lines>
  <Paragraphs>20</Paragraphs>
  <TotalTime>3</TotalTime>
  <ScaleCrop>false</ScaleCrop>
  <LinksUpToDate>false</LinksUpToDate>
  <CharactersWithSpaces>10009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2023-09-13T08:33:00Z</dcterms:created>
  <dc:creator>微软用户</dc:creator>
  <cp:lastModifiedBy>lenovo</cp:lastModifiedBy>
  <cp:lastPrinted>2023-11-10T09:04:00Z</cp:lastPrinted>
  <dcterms:modified xsi:type="dcterms:W3CDTF">2023-11-17T06:19:09Z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1E7FC803BDC7498C9448FDD61D005D35</vt:lpwstr>
  </property>
</Properties>
</file>