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0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附件</w:t>
      </w:r>
      <w:r>
        <w:rPr>
          <w:rFonts w:hint="eastAsia" w:ascii="宋体" w:hAnsi="宋体" w:eastAsia="宋体"/>
          <w:lang w:val="en-US" w:eastAsia="zh-CN"/>
        </w:rPr>
        <w:t>9</w:t>
      </w:r>
      <w:bookmarkStart w:id="4" w:name="_GoBack"/>
      <w:bookmarkEnd w:id="4"/>
      <w:r>
        <w:rPr>
          <w:rFonts w:hint="eastAsia" w:ascii="宋体" w:hAnsi="宋体" w:eastAsia="宋体"/>
        </w:rPr>
        <w:t>-</w:t>
      </w: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：</w:t>
      </w:r>
    </w:p>
    <w:p>
      <w:pPr>
        <w:spacing w:line="360" w:lineRule="exact"/>
        <w:ind w:firstLine="720"/>
        <w:jc w:val="center"/>
        <w:rPr>
          <w:rFonts w:ascii="宋体" w:hAnsi="宋体"/>
          <w:sz w:val="36"/>
        </w:rPr>
      </w:pPr>
    </w:p>
    <w:p>
      <w:pPr>
        <w:spacing w:line="360" w:lineRule="exact"/>
        <w:ind w:firstLine="0" w:firstLineChars="0"/>
        <w:jc w:val="center"/>
        <w:rPr>
          <w:rFonts w:hint="eastAsia" w:ascii="黑体" w:hAnsi="宋体" w:eastAsia="黑体"/>
          <w:sz w:val="36"/>
          <w:lang w:val="en-US" w:eastAsia="zh-CN"/>
        </w:rPr>
      </w:pPr>
      <w:r>
        <w:rPr>
          <w:rFonts w:hint="eastAsia" w:ascii="黑体" w:hAnsi="宋体" w:eastAsia="黑体"/>
          <w:sz w:val="36"/>
          <w:lang w:val="en-US" w:eastAsia="zh-CN"/>
        </w:rPr>
        <w:t>2021年度</w:t>
      </w:r>
      <w:r>
        <w:rPr>
          <w:rFonts w:hint="eastAsia" w:ascii="黑体" w:hAnsi="宋体" w:eastAsia="黑体"/>
          <w:sz w:val="36"/>
        </w:rPr>
        <w:t>财务情况说明书</w:t>
      </w:r>
      <w:r>
        <w:rPr>
          <w:rFonts w:hint="eastAsia" w:ascii="黑体" w:hAnsi="宋体" w:eastAsia="黑体"/>
          <w:sz w:val="36"/>
          <w:lang w:eastAsia="zh-CN"/>
        </w:rPr>
        <w:t>（</w:t>
      </w:r>
      <w:r>
        <w:rPr>
          <w:rFonts w:hint="eastAsia" w:ascii="黑体" w:hAnsi="宋体" w:eastAsia="黑体"/>
          <w:sz w:val="36"/>
          <w:lang w:val="en-US" w:eastAsia="zh-CN"/>
        </w:rPr>
        <w:t>国有资产管理情况报告）</w:t>
      </w:r>
    </w:p>
    <w:p>
      <w:pPr>
        <w:spacing w:line="360" w:lineRule="exact"/>
        <w:ind w:firstLine="0" w:firstLineChars="0"/>
        <w:jc w:val="center"/>
        <w:rPr>
          <w:rFonts w:ascii="黑体" w:hAnsi="宋体" w:eastAsia="黑体"/>
          <w:sz w:val="36"/>
        </w:rPr>
      </w:pPr>
      <w:r>
        <w:rPr>
          <w:rFonts w:hint="eastAsia" w:ascii="黑体" w:hAnsi="宋体" w:eastAsia="黑体"/>
          <w:sz w:val="36"/>
        </w:rPr>
        <w:t>内容提要</w:t>
      </w:r>
    </w:p>
    <w:p>
      <w:pPr>
        <w:spacing w:line="360" w:lineRule="exact"/>
        <w:ind w:firstLine="0" w:firstLineChars="0"/>
        <w:jc w:val="center"/>
        <w:rPr>
          <w:rFonts w:ascii="楷体_GB2312" w:hAnsi="楷体_GB2312" w:eastAsia="楷体_GB2312"/>
          <w:sz w:val="24"/>
        </w:rPr>
      </w:pPr>
      <w:r>
        <w:rPr>
          <w:rFonts w:hint="eastAsia" w:ascii="楷体_GB2312" w:hAnsi="楷体_GB2312" w:eastAsia="楷体_GB2312"/>
          <w:sz w:val="24"/>
        </w:rPr>
        <w:t>（企业使用格式）</w:t>
      </w:r>
    </w:p>
    <w:p>
      <w:pPr>
        <w:spacing w:line="360" w:lineRule="exact"/>
        <w:ind w:firstLine="420"/>
        <w:jc w:val="center"/>
        <w:rPr>
          <w:rFonts w:ascii="楷体_GB2312" w:hAnsi="楷体_GB2312" w:eastAsia="楷体_GB2312"/>
          <w:sz w:val="21"/>
          <w:szCs w:val="21"/>
        </w:rPr>
      </w:pPr>
    </w:p>
    <w:p>
      <w:pPr>
        <w:spacing w:line="500" w:lineRule="exact"/>
        <w:ind w:firstLine="480"/>
        <w:jc w:val="distribute"/>
        <w:rPr>
          <w:rFonts w:ascii="仿宋_GB2312" w:hAnsi="宋体"/>
          <w:sz w:val="24"/>
        </w:rPr>
      </w:pPr>
      <w:bookmarkStart w:id="0" w:name="_Hlk20078210"/>
      <w:r>
        <w:rPr>
          <w:rFonts w:hint="eastAsia" w:ascii="仿宋_GB2312" w:hAnsi="宋体"/>
          <w:sz w:val="24"/>
        </w:rPr>
        <w:t>财务情况说明书是年度财务会计决算报告的重要组成部分。各企业应依据《企业财务会计报告条例》（国务院令第287号）等有关规定，以财务指标和相关统计指标为主要依据，对本年度资产质量、财务状况、经营成果等情况进行分析说明，客观反映企业运营特点及发展趋势。财务情况说明书主要包括以下内容：</w:t>
      </w:r>
    </w:p>
    <w:p>
      <w:pPr>
        <w:spacing w:line="500" w:lineRule="exact"/>
        <w:ind w:firstLine="48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一、企业基本情况</w:t>
      </w:r>
    </w:p>
    <w:p>
      <w:pPr>
        <w:tabs>
          <w:tab w:val="left" w:pos="8595"/>
        </w:tabs>
        <w:spacing w:line="500" w:lineRule="exact"/>
        <w:ind w:firstLine="480"/>
        <w:rPr>
          <w:rFonts w:hint="eastAsia" w:ascii="仿宋_GB2312" w:hAnsi="宋体"/>
          <w:sz w:val="24"/>
          <w:shd w:val="clear" w:color="FFFFFF" w:fill="D9D9D9"/>
        </w:rPr>
      </w:pPr>
      <w:r>
        <w:rPr>
          <w:rFonts w:hint="eastAsia" w:ascii="仿宋_GB2312" w:hAnsi="宋体"/>
          <w:sz w:val="24"/>
        </w:rPr>
        <w:t>企业</w:t>
      </w:r>
      <w:r>
        <w:rPr>
          <w:rFonts w:hint="eastAsia" w:ascii="仿宋_GB2312" w:hAnsi="宋体"/>
          <w:sz w:val="24"/>
          <w:lang w:eastAsia="zh-CN"/>
        </w:rPr>
        <w:t>资产、负债、所有者权益总额、结果和年度变化情况及原因分析；</w:t>
      </w:r>
      <w:r>
        <w:rPr>
          <w:rFonts w:hint="eastAsia" w:ascii="仿宋_GB2312" w:hAnsi="宋体"/>
          <w:sz w:val="24"/>
        </w:rPr>
        <w:t>企业户数变化</w:t>
      </w:r>
      <w:r>
        <w:rPr>
          <w:rFonts w:hint="eastAsia" w:ascii="仿宋_GB2312" w:hAnsi="宋体"/>
          <w:sz w:val="24"/>
          <w:lang w:eastAsia="zh-CN"/>
        </w:rPr>
        <w:t>、</w:t>
      </w:r>
      <w:r>
        <w:rPr>
          <w:rFonts w:hint="eastAsia" w:ascii="仿宋_GB2312" w:hAnsi="宋体"/>
          <w:sz w:val="24"/>
        </w:rPr>
        <w:t>合并范围子企业户数、金融子企业、境外子企业与所属上市公司户数，未纳入合并范围户数及原因</w:t>
      </w:r>
      <w:r>
        <w:rPr>
          <w:rFonts w:hint="eastAsia" w:ascii="仿宋_GB2312" w:hAnsi="宋体"/>
          <w:sz w:val="24"/>
          <w:lang w:eastAsia="zh-CN"/>
        </w:rPr>
        <w:t>；企业低效无效资产清理情况；</w:t>
      </w:r>
      <w:r>
        <w:rPr>
          <w:rFonts w:hint="eastAsia" w:ascii="仿宋_GB2312" w:hAnsi="宋体"/>
          <w:sz w:val="24"/>
        </w:rPr>
        <w:t>集团职工人数及人工成本、薪酬水平等基本情况</w:t>
      </w:r>
      <w:r>
        <w:rPr>
          <w:rFonts w:hint="eastAsia" w:ascii="仿宋_GB2312" w:hAnsi="宋体"/>
          <w:sz w:val="24"/>
          <w:shd w:val="clear" w:color="auto" w:fill="auto"/>
        </w:rPr>
        <w:t>。</w:t>
      </w:r>
    </w:p>
    <w:p>
      <w:pPr>
        <w:tabs>
          <w:tab w:val="left" w:pos="8595"/>
        </w:tabs>
        <w:spacing w:line="500" w:lineRule="exact"/>
        <w:ind w:firstLine="48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二、生产经营情况分析</w:t>
      </w:r>
    </w:p>
    <w:p>
      <w:pPr>
        <w:spacing w:line="500" w:lineRule="exact"/>
        <w:ind w:firstLine="480"/>
        <w:rPr>
          <w:rFonts w:hint="default" w:eastAsia="仿宋_GB2312"/>
          <w:sz w:val="24"/>
          <w:lang w:val="en" w:eastAsia="zh-CN"/>
        </w:rPr>
      </w:pPr>
      <w:r>
        <w:rPr>
          <w:rFonts w:hint="eastAsia" w:ascii="仿宋_GB2312" w:hAnsi="宋体"/>
          <w:sz w:val="24"/>
        </w:rPr>
        <w:t>（一）</w:t>
      </w:r>
      <w:r>
        <w:rPr>
          <w:rFonts w:hint="eastAsia" w:ascii="仿宋_GB2312" w:hAnsi="宋体"/>
          <w:sz w:val="24"/>
          <w:lang w:eastAsia="zh-CN"/>
        </w:rPr>
        <w:t>企业主营业务范围及经营规模、行业分布等情况分析。</w:t>
      </w:r>
    </w:p>
    <w:p>
      <w:pPr>
        <w:spacing w:line="500" w:lineRule="exact"/>
        <w:ind w:firstLine="480"/>
        <w:rPr>
          <w:rFonts w:hint="eastAsia" w:ascii="仿宋_GB2312" w:hAnsi="宋体" w:eastAsia="仿宋_GB2312"/>
          <w:sz w:val="24"/>
          <w:lang w:eastAsia="zh-CN"/>
        </w:rPr>
      </w:pPr>
      <w:r>
        <w:rPr>
          <w:rFonts w:hint="eastAsia" w:ascii="仿宋_GB2312" w:hAnsi="宋体"/>
          <w:sz w:val="24"/>
        </w:rPr>
        <w:t>（二）</w:t>
      </w:r>
      <w:r>
        <w:rPr>
          <w:rFonts w:hint="eastAsia" w:ascii="仿宋_GB2312" w:hAnsi="宋体"/>
          <w:sz w:val="24"/>
          <w:lang w:eastAsia="zh-CN"/>
        </w:rPr>
        <w:t>按</w:t>
      </w:r>
      <w:r>
        <w:rPr>
          <w:rFonts w:hint="eastAsia" w:ascii="仿宋_GB2312" w:hAnsi="宋体"/>
          <w:sz w:val="24"/>
        </w:rPr>
        <w:t>主要业务板块分析</w:t>
      </w:r>
      <w:r>
        <w:rPr>
          <w:rFonts w:hint="eastAsia" w:ascii="仿宋_GB2312" w:hAnsi="宋体"/>
          <w:sz w:val="24"/>
          <w:lang w:eastAsia="zh-CN"/>
        </w:rPr>
        <w:t>本年度生产经营情况，包括主要产品的产量、业务营业量、销售量（出口额、进口额）的增减变化和原因分析，各主要业务板块收入及毛利占企业集团总收入的比重，所处行业中的地位及发展趋势；宏观经济政策产生的影响。</w:t>
      </w:r>
    </w:p>
    <w:p>
      <w:pPr>
        <w:spacing w:line="500" w:lineRule="exact"/>
        <w:ind w:firstLine="480"/>
        <w:rPr>
          <w:rFonts w:hint="eastAsia" w:ascii="仿宋_GB2312" w:hAnsi="宋体"/>
          <w:sz w:val="24"/>
          <w:lang w:eastAsia="zh-CN"/>
        </w:rPr>
      </w:pPr>
      <w:r>
        <w:rPr>
          <w:rFonts w:hint="eastAsia" w:ascii="仿宋_GB2312" w:hAnsi="宋体"/>
          <w:sz w:val="24"/>
        </w:rPr>
        <w:t>（三）其他业务收支增减变化及原因分析</w:t>
      </w:r>
      <w:r>
        <w:rPr>
          <w:rFonts w:hint="eastAsia" w:ascii="仿宋_GB2312" w:hAnsi="宋体"/>
          <w:sz w:val="24"/>
          <w:lang w:eastAsia="zh-CN"/>
        </w:rPr>
        <w:t>。</w:t>
      </w:r>
    </w:p>
    <w:p>
      <w:pPr>
        <w:spacing w:line="500" w:lineRule="exact"/>
        <w:ind w:firstLine="480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（四）企业本年完成的重要工作，例如服务国家重要战略、参与国企改革试点、做出突出社会贡献等。</w:t>
      </w:r>
    </w:p>
    <w:p>
      <w:pPr>
        <w:spacing w:line="500" w:lineRule="exact"/>
        <w:ind w:firstLine="480"/>
        <w:rPr>
          <w:rFonts w:hint="eastAsia" w:ascii="仿宋_GB2312" w:hAnsi="宋体"/>
          <w:sz w:val="24"/>
        </w:rPr>
      </w:pPr>
      <w:r>
        <w:rPr>
          <w:rFonts w:hint="eastAsia" w:ascii="仿宋_GB2312" w:hAnsi="宋体"/>
          <w:sz w:val="24"/>
        </w:rPr>
        <w:t>（五）生产经营中面临的困难与挑战。</w:t>
      </w:r>
    </w:p>
    <w:p>
      <w:pPr>
        <w:spacing w:line="500" w:lineRule="exact"/>
        <w:ind w:firstLine="480"/>
        <w:rPr>
          <w:rFonts w:hint="default" w:ascii="仿宋_GB2312" w:hAnsi="宋体" w:eastAsia="仿宋_GB2312"/>
          <w:sz w:val="24"/>
          <w:lang w:val="en-US" w:eastAsia="zh-CN"/>
        </w:rPr>
      </w:pPr>
      <w:r>
        <w:rPr>
          <w:rFonts w:hint="eastAsia" w:ascii="仿宋_GB2312" w:hAnsi="宋体"/>
          <w:sz w:val="24"/>
          <w:lang w:eastAsia="zh-CN"/>
        </w:rPr>
        <w:t>（六）企业境外投资规模、投资领域、境外投资收益及变化分析；境外投资风险及防范机制分析。</w:t>
      </w:r>
    </w:p>
    <w:p>
      <w:pPr>
        <w:tabs>
          <w:tab w:val="left" w:pos="8595"/>
        </w:tabs>
        <w:spacing w:line="500" w:lineRule="exact"/>
        <w:ind w:firstLine="48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三、企业</w:t>
      </w:r>
      <w:r>
        <w:rPr>
          <w:rFonts w:hint="eastAsia" w:ascii="黑体" w:hAnsi="宋体" w:eastAsia="黑体"/>
          <w:sz w:val="24"/>
          <w:lang w:eastAsia="zh-CN"/>
        </w:rPr>
        <w:t>经济效益</w:t>
      </w:r>
      <w:r>
        <w:rPr>
          <w:rFonts w:hint="eastAsia" w:ascii="黑体" w:hAnsi="宋体" w:eastAsia="黑体"/>
          <w:sz w:val="24"/>
        </w:rPr>
        <w:t>分析</w:t>
      </w:r>
    </w:p>
    <w:p>
      <w:pPr>
        <w:pStyle w:val="7"/>
        <w:spacing w:line="500" w:lineRule="exact"/>
        <w:ind w:firstLine="530" w:firstLineChars="221"/>
        <w:rPr>
          <w:rFonts w:hint="default" w:ascii="仿宋_GB2312" w:eastAsia="仿宋_GB2312"/>
          <w:sz w:val="24"/>
          <w:lang w:val="en-US" w:eastAsia="zh-CN"/>
        </w:rPr>
      </w:pPr>
      <w:bookmarkStart w:id="1" w:name="_Hlk19697418"/>
      <w:r>
        <w:rPr>
          <w:rFonts w:hint="eastAsia" w:ascii="仿宋_GB2312" w:eastAsia="仿宋_GB2312"/>
          <w:sz w:val="24"/>
          <w:lang w:eastAsia="zh-CN"/>
        </w:rPr>
        <w:t>（一）企业</w:t>
      </w:r>
      <w:r>
        <w:rPr>
          <w:rFonts w:hint="eastAsia" w:ascii="仿宋_GB2312" w:eastAsia="仿宋_GB2312"/>
          <w:sz w:val="24"/>
        </w:rPr>
        <w:t>盈利能力分析</w:t>
      </w:r>
      <w:r>
        <w:rPr>
          <w:rFonts w:hint="eastAsia" w:ascii="仿宋_GB2312" w:eastAsia="仿宋_GB2312"/>
          <w:sz w:val="24"/>
          <w:lang w:eastAsia="zh-CN"/>
        </w:rPr>
        <w:t>，包括盈利结构，各业务板块效益贡献，效益增减变动的主要原因。</w:t>
      </w:r>
    </w:p>
    <w:p>
      <w:pPr>
        <w:spacing w:line="500" w:lineRule="exact"/>
        <w:ind w:firstLine="480"/>
        <w:rPr>
          <w:rFonts w:hint="eastAsia" w:ascii="仿宋_GB2312"/>
          <w:sz w:val="24"/>
          <w:shd w:val="clear" w:color="auto" w:fill="auto"/>
          <w:lang w:eastAsia="zh-CN"/>
        </w:rPr>
      </w:pPr>
      <w:r>
        <w:rPr>
          <w:rFonts w:hint="eastAsia" w:ascii="仿宋_GB2312"/>
          <w:sz w:val="24"/>
          <w:shd w:val="clear" w:color="auto" w:fill="auto"/>
          <w:lang w:eastAsia="zh-CN"/>
        </w:rPr>
        <w:t>（二）</w:t>
      </w:r>
      <w:r>
        <w:rPr>
          <w:rFonts w:hint="eastAsia" w:ascii="仿宋_GB2312" w:eastAsia="仿宋_GB2312"/>
          <w:sz w:val="24"/>
          <w:shd w:val="clear" w:color="auto" w:fill="auto"/>
        </w:rPr>
        <w:t>成本费用</w:t>
      </w:r>
      <w:r>
        <w:rPr>
          <w:rFonts w:hint="eastAsia" w:ascii="仿宋_GB2312"/>
          <w:sz w:val="24"/>
          <w:shd w:val="clear" w:color="auto" w:fill="auto"/>
          <w:lang w:eastAsia="zh-CN"/>
        </w:rPr>
        <w:t>变动的主要因素，包括原材料费用、能源费用、工资性支出、借款利率调整对效益的影响。</w:t>
      </w:r>
    </w:p>
    <w:p>
      <w:pPr>
        <w:spacing w:line="500" w:lineRule="exact"/>
        <w:ind w:firstLine="480"/>
        <w:rPr>
          <w:rFonts w:hint="eastAsia" w:ascii="仿宋_GB2312" w:hAnsi="宋体"/>
          <w:sz w:val="24"/>
        </w:rPr>
      </w:pPr>
      <w:r>
        <w:rPr>
          <w:rFonts w:hint="eastAsia" w:ascii="仿宋_GB2312" w:hAnsi="宋体"/>
          <w:sz w:val="24"/>
          <w:lang w:eastAsia="zh-CN"/>
        </w:rPr>
        <w:t>（三）</w:t>
      </w:r>
      <w:r>
        <w:rPr>
          <w:rFonts w:hint="eastAsia" w:ascii="仿宋_GB2312" w:hAnsi="宋体"/>
          <w:sz w:val="24"/>
        </w:rPr>
        <w:t>税赋调整对效益的影响，包括有关税种和税率调整、享受税收优惠政策退税返还等。</w:t>
      </w:r>
    </w:p>
    <w:p>
      <w:pPr>
        <w:spacing w:line="500" w:lineRule="exact"/>
        <w:ind w:firstLine="480"/>
        <w:rPr>
          <w:rFonts w:hint="eastAsia" w:ascii="仿宋_GB2312" w:hAnsi="宋体"/>
          <w:sz w:val="24"/>
        </w:rPr>
      </w:pPr>
      <w:r>
        <w:rPr>
          <w:rFonts w:hint="eastAsia" w:ascii="仿宋_GB2312" w:hAnsi="宋体"/>
          <w:sz w:val="24"/>
          <w:lang w:eastAsia="zh-CN"/>
        </w:rPr>
        <w:t>（四）</w:t>
      </w:r>
      <w:r>
        <w:rPr>
          <w:rFonts w:hint="eastAsia" w:ascii="仿宋_GB2312" w:hAnsi="宋体"/>
          <w:sz w:val="24"/>
        </w:rPr>
        <w:t>会计政策、会计估计变更的原因及其对效益的影响。</w:t>
      </w:r>
    </w:p>
    <w:p>
      <w:pPr>
        <w:spacing w:line="500" w:lineRule="exact"/>
        <w:ind w:firstLine="480"/>
        <w:rPr>
          <w:rFonts w:hint="eastAsia" w:ascii="仿宋_GB2312" w:eastAsia="仿宋_GB2312"/>
          <w:sz w:val="24"/>
          <w:shd w:val="clear" w:color="auto" w:fill="auto"/>
          <w:lang w:val="en-US" w:eastAsia="zh-CN"/>
        </w:rPr>
      </w:pPr>
      <w:r>
        <w:rPr>
          <w:rFonts w:hint="eastAsia" w:ascii="仿宋_GB2312" w:hAnsi="宋体"/>
          <w:sz w:val="24"/>
          <w:shd w:val="clear" w:color="auto" w:fill="auto"/>
          <w:lang w:eastAsia="zh-CN"/>
        </w:rPr>
        <w:t>（五）本年度</w:t>
      </w:r>
      <w:r>
        <w:rPr>
          <w:rFonts w:hint="eastAsia" w:ascii="仿宋_GB2312" w:hAnsi="宋体"/>
          <w:sz w:val="24"/>
          <w:shd w:val="clear" w:color="auto" w:fill="auto"/>
        </w:rPr>
        <w:t>房地产开发、</w:t>
      </w:r>
      <w:r>
        <w:rPr>
          <w:rFonts w:hint="eastAsia" w:ascii="仿宋_GB2312" w:hAnsi="宋体"/>
          <w:sz w:val="24"/>
          <w:shd w:val="clear" w:color="auto" w:fill="auto"/>
          <w:lang w:eastAsia="zh-CN"/>
        </w:rPr>
        <w:t>高风险业务投资及损益情况，</w:t>
      </w:r>
      <w:r>
        <w:rPr>
          <w:rFonts w:hint="eastAsia" w:ascii="仿宋_GB2312" w:hAnsi="宋体"/>
          <w:sz w:val="24"/>
          <w:shd w:val="clear" w:color="auto" w:fill="auto"/>
        </w:rPr>
        <w:t>包括：委托理财、股票投资、</w:t>
      </w:r>
      <w:r>
        <w:rPr>
          <w:rFonts w:hint="eastAsia" w:ascii="仿宋_GB2312" w:hAnsi="宋体"/>
          <w:sz w:val="24"/>
          <w:shd w:val="clear" w:color="auto" w:fill="auto"/>
          <w:lang w:eastAsia="zh-CN"/>
        </w:rPr>
        <w:t>基金投资、</w:t>
      </w:r>
      <w:r>
        <w:rPr>
          <w:rFonts w:hint="eastAsia" w:ascii="仿宋_GB2312" w:hAnsi="宋体"/>
          <w:sz w:val="24"/>
          <w:shd w:val="clear" w:color="auto" w:fill="auto"/>
        </w:rPr>
        <w:t>金融衍生业务，分析对企业效益及财务风险的影响程度</w:t>
      </w:r>
      <w:r>
        <w:rPr>
          <w:rFonts w:hint="eastAsia" w:ascii="仿宋_GB2312" w:hAnsi="宋体"/>
          <w:sz w:val="24"/>
          <w:shd w:val="clear" w:color="auto" w:fill="auto"/>
          <w:lang w:eastAsia="zh-CN"/>
        </w:rPr>
        <w:t>。</w:t>
      </w:r>
    </w:p>
    <w:bookmarkEnd w:id="1"/>
    <w:p>
      <w:pPr>
        <w:pStyle w:val="7"/>
        <w:numPr>
          <w:ilvl w:val="0"/>
          <w:numId w:val="0"/>
        </w:numPr>
        <w:spacing w:line="500" w:lineRule="exact"/>
        <w:rPr>
          <w:rFonts w:hint="eastAsia" w:ascii="仿宋_GB2312" w:hAnsi="宋体" w:eastAsia="仿宋_GB2312"/>
          <w:sz w:val="24"/>
        </w:rPr>
      </w:pPr>
      <w:bookmarkStart w:id="2" w:name="_Hlk19697430"/>
      <w:r>
        <w:rPr>
          <w:rFonts w:hint="eastAsia" w:ascii="仿宋_GB2312" w:hAnsi="宋体" w:eastAsia="仿宋_GB2312"/>
          <w:sz w:val="24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4"/>
          <w:lang w:eastAsia="zh-CN"/>
        </w:rPr>
        <w:t>（六）</w:t>
      </w:r>
      <w:r>
        <w:rPr>
          <w:rFonts w:hint="eastAsia" w:ascii="仿宋_GB2312" w:hAnsi="宋体" w:eastAsia="仿宋_GB2312"/>
          <w:sz w:val="24"/>
        </w:rPr>
        <w:t>亏损企业户数、亏损面、亏损额及原因。</w:t>
      </w:r>
    </w:p>
    <w:p>
      <w:pPr>
        <w:pStyle w:val="7"/>
        <w:numPr>
          <w:ilvl w:val="0"/>
          <w:numId w:val="0"/>
        </w:numPr>
        <w:spacing w:line="50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  <w:lang w:val="en-US" w:eastAsia="zh-CN"/>
        </w:rPr>
        <w:t xml:space="preserve">    （七）</w:t>
      </w:r>
      <w:r>
        <w:rPr>
          <w:rFonts w:hint="eastAsia" w:ascii="仿宋_GB2312" w:hAnsi="宋体" w:eastAsia="仿宋_GB2312"/>
          <w:sz w:val="24"/>
          <w:lang w:eastAsia="zh-CN"/>
        </w:rPr>
        <w:t>企业净资产收益率、总资产报酬率等盈利能力相关指标的年度间对比分析和行业对标。</w:t>
      </w:r>
    </w:p>
    <w:bookmarkEnd w:id="2"/>
    <w:p>
      <w:pPr>
        <w:numPr>
          <w:ilvl w:val="0"/>
          <w:numId w:val="0"/>
        </w:numPr>
        <w:spacing w:line="500" w:lineRule="exact"/>
        <w:rPr>
          <w:rFonts w:hint="eastAsia" w:ascii="仿宋_GB2312" w:hAnsi="宋体"/>
          <w:sz w:val="24"/>
          <w:shd w:val="clear" w:color="FFFFFF" w:fill="D9D9D9"/>
        </w:rPr>
      </w:pPr>
      <w:r>
        <w:rPr>
          <w:rFonts w:hint="eastAsia" w:ascii="仿宋_GB2312" w:hAnsi="宋体"/>
          <w:sz w:val="24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宋体"/>
          <w:sz w:val="24"/>
          <w:shd w:val="clear" w:color="auto" w:fill="auto"/>
          <w:lang w:eastAsia="zh-CN"/>
        </w:rPr>
        <w:t>（八）</w:t>
      </w:r>
      <w:r>
        <w:rPr>
          <w:rFonts w:hint="eastAsia" w:ascii="仿宋_GB2312" w:hAnsi="宋体"/>
          <w:sz w:val="24"/>
          <w:shd w:val="clear" w:color="auto" w:fill="auto"/>
        </w:rPr>
        <w:t>非经营性损益对公司盈利能力的影响。</w:t>
      </w:r>
    </w:p>
    <w:p>
      <w:pPr>
        <w:tabs>
          <w:tab w:val="left" w:pos="8595"/>
        </w:tabs>
        <w:spacing w:line="500" w:lineRule="exact"/>
        <w:ind w:firstLine="480"/>
        <w:rPr>
          <w:rFonts w:hint="eastAsia" w:ascii="黑体" w:hAnsi="宋体" w:eastAsia="黑体"/>
          <w:sz w:val="24"/>
          <w:shd w:val="clear" w:color="auto" w:fill="auto"/>
          <w:lang w:eastAsia="zh-CN"/>
        </w:rPr>
      </w:pPr>
      <w:r>
        <w:rPr>
          <w:rFonts w:hint="eastAsia" w:ascii="黑体" w:hAnsi="宋体" w:eastAsia="黑体"/>
          <w:sz w:val="24"/>
          <w:shd w:val="clear" w:color="auto" w:fill="auto"/>
          <w:lang w:eastAsia="zh-CN"/>
        </w:rPr>
        <w:t>四、现金流量分析</w:t>
      </w:r>
    </w:p>
    <w:p>
      <w:pPr>
        <w:spacing w:line="500" w:lineRule="exact"/>
        <w:ind w:firstLine="480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  <w:lang w:eastAsia="zh-CN"/>
        </w:rPr>
        <w:t>（一）</w:t>
      </w:r>
      <w:r>
        <w:rPr>
          <w:rFonts w:hint="eastAsia" w:ascii="仿宋_GB2312" w:hAnsi="宋体"/>
          <w:sz w:val="24"/>
        </w:rPr>
        <w:t>经营、投资、筹资活动产生的现金流入和流出情况。</w:t>
      </w:r>
    </w:p>
    <w:p>
      <w:pPr>
        <w:autoSpaceDE w:val="0"/>
        <w:autoSpaceDN w:val="0"/>
        <w:spacing w:line="480" w:lineRule="exact"/>
        <w:ind w:firstLine="480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  <w:lang w:eastAsia="zh-CN"/>
        </w:rPr>
        <w:t>（二）</w:t>
      </w:r>
      <w:r>
        <w:rPr>
          <w:rFonts w:hint="eastAsia" w:ascii="仿宋_GB2312" w:hAnsi="宋体"/>
          <w:sz w:val="24"/>
        </w:rPr>
        <w:t>与上年度现金流量情况进行比较分析，包括现金流规模和结构，流入的主要来源（经营、投资或筹资），流出的主要用途（投资、筹资），分析盈余现金保障倍数、现金流动负债比率、资产现金回收率等指标并与行业对标。</w:t>
      </w:r>
    </w:p>
    <w:p>
      <w:pPr>
        <w:spacing w:line="500" w:lineRule="exact"/>
        <w:ind w:firstLine="480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  <w:lang w:eastAsia="zh-CN"/>
        </w:rPr>
        <w:t>（三）</w:t>
      </w:r>
      <w:r>
        <w:rPr>
          <w:rFonts w:hint="eastAsia" w:ascii="仿宋_GB2312" w:hAnsi="宋体"/>
          <w:sz w:val="24"/>
        </w:rPr>
        <w:t>对企业本年度现金流产生重大影响的事项说明。</w:t>
      </w:r>
    </w:p>
    <w:p>
      <w:pPr>
        <w:tabs>
          <w:tab w:val="left" w:pos="8595"/>
        </w:tabs>
        <w:spacing w:line="500" w:lineRule="exact"/>
        <w:ind w:firstLine="480"/>
        <w:rPr>
          <w:rFonts w:hint="eastAsia" w:ascii="黑体" w:hAnsi="宋体" w:eastAsia="黑体"/>
          <w:sz w:val="24"/>
          <w:shd w:val="clear" w:color="auto" w:fill="auto"/>
          <w:lang w:eastAsia="zh-CN"/>
        </w:rPr>
      </w:pPr>
      <w:r>
        <w:rPr>
          <w:rFonts w:hint="eastAsia" w:ascii="黑体" w:hAnsi="宋体" w:eastAsia="黑体"/>
          <w:sz w:val="24"/>
          <w:shd w:val="clear" w:color="auto" w:fill="auto"/>
          <w:lang w:eastAsia="zh-CN"/>
        </w:rPr>
        <w:t>五、所有者权益变动情况分析</w:t>
      </w:r>
    </w:p>
    <w:p>
      <w:pPr>
        <w:spacing w:line="440" w:lineRule="exact"/>
        <w:ind w:firstLine="480"/>
        <w:jc w:val="left"/>
        <w:rPr>
          <w:rFonts w:hint="eastAsia" w:eastAsia="仿宋_GB2312"/>
          <w:sz w:val="24"/>
          <w:lang w:eastAsia="zh-CN"/>
        </w:rPr>
      </w:pPr>
      <w:r>
        <w:rPr>
          <w:rFonts w:hint="eastAsia"/>
          <w:sz w:val="24"/>
          <w:lang w:eastAsia="zh-CN"/>
        </w:rPr>
        <w:t>（一）</w:t>
      </w:r>
      <w:r>
        <w:rPr>
          <w:rFonts w:hint="eastAsia"/>
          <w:sz w:val="24"/>
        </w:rPr>
        <w:t>会计处理追溯调整影响年初所有者权益（或股东权益）的变动情况及原因。</w:t>
      </w:r>
    </w:p>
    <w:p>
      <w:pPr>
        <w:spacing w:line="440" w:lineRule="exact"/>
        <w:ind w:firstLine="480"/>
        <w:jc w:val="left"/>
        <w:rPr>
          <w:rFonts w:hint="eastAsia" w:eastAsia="仿宋_GB2312"/>
          <w:sz w:val="24"/>
          <w:lang w:eastAsia="zh-CN"/>
        </w:rPr>
      </w:pPr>
      <w:r>
        <w:rPr>
          <w:rFonts w:hint="eastAsia"/>
          <w:sz w:val="24"/>
          <w:lang w:eastAsia="zh-CN"/>
        </w:rPr>
        <w:t>（二）</w:t>
      </w:r>
      <w:r>
        <w:rPr>
          <w:rFonts w:hint="eastAsia"/>
          <w:sz w:val="24"/>
        </w:rPr>
        <w:t>所有者权益（或股东权益）本年初与上年末因其他原因变动情况及原因。</w:t>
      </w:r>
    </w:p>
    <w:p>
      <w:pPr>
        <w:spacing w:line="440" w:lineRule="exact"/>
        <w:ind w:firstLine="480"/>
        <w:jc w:val="left"/>
        <w:rPr>
          <w:sz w:val="24"/>
        </w:rPr>
      </w:pPr>
      <w:r>
        <w:rPr>
          <w:rFonts w:hint="eastAsia"/>
          <w:sz w:val="24"/>
          <w:lang w:eastAsia="zh-CN"/>
        </w:rPr>
        <w:t>（三）</w:t>
      </w:r>
      <w:r>
        <w:rPr>
          <w:rFonts w:hint="eastAsia"/>
          <w:sz w:val="24"/>
        </w:rPr>
        <w:t>所有者权益（或股东权益）本年度内经营因素增减情况及原因。</w:t>
      </w:r>
    </w:p>
    <w:p>
      <w:pPr>
        <w:tabs>
          <w:tab w:val="left" w:pos="8595"/>
        </w:tabs>
        <w:spacing w:line="500" w:lineRule="exact"/>
        <w:ind w:firstLine="480"/>
        <w:rPr>
          <w:rFonts w:hint="eastAsia" w:eastAsia="仿宋_GB2312"/>
          <w:sz w:val="24"/>
          <w:shd w:val="clear" w:color="auto" w:fill="auto"/>
          <w:lang w:eastAsia="zh-CN"/>
        </w:rPr>
      </w:pPr>
      <w:r>
        <w:rPr>
          <w:rFonts w:hint="eastAsia" w:ascii="仿宋_GB2312"/>
          <w:sz w:val="24"/>
          <w:shd w:val="clear" w:color="auto" w:fill="auto"/>
          <w:lang w:val="en-US" w:eastAsia="zh-CN"/>
        </w:rPr>
        <w:t>（四）</w:t>
      </w:r>
      <w:r>
        <w:rPr>
          <w:rFonts w:hint="eastAsia" w:ascii="仿宋_GB2312"/>
          <w:sz w:val="24"/>
          <w:shd w:val="clear" w:color="auto" w:fill="auto"/>
        </w:rPr>
        <w:t>国有资本保值增值情况分析</w:t>
      </w:r>
      <w:r>
        <w:rPr>
          <w:rFonts w:hint="eastAsia" w:ascii="仿宋_GB2312"/>
          <w:sz w:val="24"/>
          <w:shd w:val="clear" w:color="auto" w:fill="auto"/>
          <w:lang w:eastAsia="zh-CN"/>
        </w:rPr>
        <w:t>。</w:t>
      </w:r>
    </w:p>
    <w:p>
      <w:pPr>
        <w:tabs>
          <w:tab w:val="left" w:pos="8595"/>
        </w:tabs>
        <w:spacing w:line="500" w:lineRule="exact"/>
        <w:ind w:firstLine="48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lang w:eastAsia="zh-CN"/>
        </w:rPr>
        <w:t>六</w:t>
      </w:r>
      <w:r>
        <w:rPr>
          <w:rFonts w:hint="eastAsia" w:ascii="黑体" w:hAnsi="宋体" w:eastAsia="黑体"/>
          <w:sz w:val="24"/>
        </w:rPr>
        <w:t>、重大事项说明</w:t>
      </w:r>
    </w:p>
    <w:p>
      <w:pPr>
        <w:spacing w:line="500" w:lineRule="exact"/>
        <w:ind w:firstLine="480"/>
        <w:rPr>
          <w:rFonts w:ascii="仿宋_GB2312" w:hAnsi="宋体"/>
          <w:sz w:val="24"/>
          <w:shd w:val="clear" w:color="FFFFFF" w:fill="D9D9D9"/>
        </w:rPr>
      </w:pPr>
      <w:r>
        <w:rPr>
          <w:rFonts w:hint="eastAsia" w:ascii="仿宋_GB2312" w:hAnsi="宋体"/>
          <w:sz w:val="24"/>
        </w:rPr>
        <w:t>对企业利润分配、资产重组、债务重组、兼并收购、改制上市、重大投融资、重大资产处置、股权（产权）转让及</w:t>
      </w:r>
      <w:r>
        <w:rPr>
          <w:rFonts w:hint="eastAsia"/>
          <w:sz w:val="24"/>
        </w:rPr>
        <w:t>资产损失情况</w:t>
      </w:r>
      <w:r>
        <w:rPr>
          <w:rFonts w:hint="eastAsia"/>
          <w:sz w:val="24"/>
          <w:lang w:eastAsia="zh-CN"/>
        </w:rPr>
        <w:t>、大额套期保值业务情况、融资性贸易业务和“空转”“走单”等虚假贸易业务情况</w:t>
      </w:r>
      <w:r>
        <w:rPr>
          <w:rFonts w:hint="eastAsia" w:ascii="仿宋_GB2312" w:hAnsi="宋体"/>
          <w:sz w:val="24"/>
        </w:rPr>
        <w:t>等重大事项进行详细说明和分析。</w:t>
      </w:r>
    </w:p>
    <w:p>
      <w:pPr>
        <w:tabs>
          <w:tab w:val="left" w:pos="8595"/>
        </w:tabs>
        <w:spacing w:line="500" w:lineRule="exact"/>
        <w:ind w:firstLine="480"/>
        <w:rPr>
          <w:rFonts w:ascii="仿宋_GB2312" w:hAnsi="宋体"/>
          <w:sz w:val="24"/>
          <w:shd w:val="clear" w:color="auto" w:fill="auto"/>
        </w:rPr>
      </w:pPr>
      <w:r>
        <w:rPr>
          <w:rFonts w:hint="eastAsia" w:ascii="黑体" w:hAnsi="宋体" w:eastAsia="黑体"/>
          <w:sz w:val="24"/>
          <w:shd w:val="clear" w:color="auto" w:fill="auto"/>
          <w:lang w:eastAsia="zh-CN"/>
        </w:rPr>
        <w:t>七</w:t>
      </w:r>
      <w:r>
        <w:rPr>
          <w:rFonts w:hint="eastAsia" w:ascii="黑体" w:hAnsi="宋体" w:eastAsia="黑体"/>
          <w:sz w:val="24"/>
          <w:shd w:val="clear" w:color="auto" w:fill="auto"/>
        </w:rPr>
        <w:t>、企业财务管理情况</w:t>
      </w:r>
    </w:p>
    <w:p>
      <w:pPr>
        <w:tabs>
          <w:tab w:val="left" w:pos="8595"/>
        </w:tabs>
        <w:spacing w:line="500" w:lineRule="exact"/>
        <w:ind w:firstLine="480"/>
        <w:rPr>
          <w:rFonts w:ascii="仿宋_GB2312" w:hAnsi="宋体"/>
          <w:sz w:val="24"/>
          <w:shd w:val="clear" w:color="auto" w:fill="auto"/>
        </w:rPr>
      </w:pPr>
      <w:r>
        <w:rPr>
          <w:rFonts w:hint="eastAsia" w:ascii="仿宋_GB2312" w:hAnsi="宋体"/>
          <w:sz w:val="24"/>
          <w:shd w:val="clear" w:color="auto" w:fill="auto"/>
          <w:lang w:eastAsia="zh-CN"/>
        </w:rPr>
        <w:t>（</w:t>
      </w:r>
      <w:r>
        <w:rPr>
          <w:rFonts w:hint="eastAsia" w:ascii="仿宋_GB2312" w:hAnsi="宋体"/>
          <w:sz w:val="24"/>
          <w:shd w:val="clear" w:color="auto" w:fill="auto"/>
        </w:rPr>
        <w:t>一）集团本部财务人才队伍建设情况，包括中高级职称财务人员占比等。</w:t>
      </w:r>
    </w:p>
    <w:p>
      <w:pPr>
        <w:tabs>
          <w:tab w:val="left" w:pos="8595"/>
        </w:tabs>
        <w:spacing w:line="500" w:lineRule="exact"/>
        <w:ind w:firstLine="480"/>
        <w:rPr>
          <w:rFonts w:ascii="仿宋_GB2312" w:hAnsi="宋体"/>
          <w:sz w:val="24"/>
          <w:shd w:val="clear" w:color="auto" w:fill="auto"/>
        </w:rPr>
      </w:pPr>
      <w:r>
        <w:rPr>
          <w:rFonts w:hint="eastAsia" w:ascii="仿宋_GB2312" w:hAnsi="宋体"/>
          <w:sz w:val="24"/>
          <w:shd w:val="clear" w:color="auto" w:fill="auto"/>
        </w:rPr>
        <w:t>（二）集团财务管控情况，包括资金管理模式、资金集中度，全面预算管理执行情况、预算偏离度等。</w:t>
      </w:r>
    </w:p>
    <w:p>
      <w:pPr>
        <w:tabs>
          <w:tab w:val="left" w:pos="8595"/>
        </w:tabs>
        <w:spacing w:line="500" w:lineRule="exact"/>
        <w:ind w:firstLine="480"/>
        <w:rPr>
          <w:rFonts w:ascii="仿宋_GB2312" w:hAnsi="宋体"/>
          <w:sz w:val="24"/>
          <w:shd w:val="clear" w:color="auto" w:fill="auto"/>
        </w:rPr>
      </w:pPr>
      <w:r>
        <w:rPr>
          <w:rFonts w:hint="eastAsia" w:ascii="仿宋_GB2312" w:hAnsi="宋体"/>
          <w:sz w:val="24"/>
          <w:shd w:val="clear" w:color="auto" w:fill="auto"/>
        </w:rPr>
        <w:t>（三）集团财务信息化系统投入情况。</w:t>
      </w:r>
    </w:p>
    <w:p>
      <w:pPr>
        <w:tabs>
          <w:tab w:val="left" w:pos="8595"/>
        </w:tabs>
        <w:spacing w:line="500" w:lineRule="exact"/>
        <w:ind w:firstLine="480"/>
        <w:rPr>
          <w:rFonts w:ascii="黑体" w:hAnsi="宋体" w:eastAsia="黑体"/>
          <w:sz w:val="24"/>
          <w:shd w:val="clear" w:color="auto" w:fill="auto"/>
        </w:rPr>
      </w:pPr>
      <w:r>
        <w:rPr>
          <w:rFonts w:hint="eastAsia" w:ascii="仿宋_GB2312" w:hAnsi="宋体"/>
          <w:sz w:val="24"/>
          <w:shd w:val="clear" w:color="auto" w:fill="auto"/>
        </w:rPr>
        <w:t>（四）企业财务会计决算工作的问题和改进计划。</w:t>
      </w:r>
    </w:p>
    <w:p>
      <w:pPr>
        <w:tabs>
          <w:tab w:val="left" w:pos="8595"/>
        </w:tabs>
        <w:spacing w:line="500" w:lineRule="exact"/>
        <w:ind w:firstLine="48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lang w:eastAsia="zh-CN"/>
        </w:rPr>
        <w:t>八</w:t>
      </w:r>
      <w:r>
        <w:rPr>
          <w:rFonts w:hint="eastAsia" w:ascii="黑体" w:hAnsi="宋体" w:eastAsia="黑体"/>
          <w:sz w:val="24"/>
        </w:rPr>
        <w:t>、风险及内控管理情况</w:t>
      </w:r>
    </w:p>
    <w:p>
      <w:pPr>
        <w:autoSpaceDE w:val="0"/>
        <w:autoSpaceDN w:val="0"/>
        <w:spacing w:line="500" w:lineRule="exact"/>
        <w:ind w:firstLine="480"/>
        <w:jc w:val="left"/>
        <w:rPr>
          <w:rFonts w:ascii="仿宋_GB2312" w:hAnsi="Arial"/>
          <w:sz w:val="24"/>
        </w:rPr>
      </w:pPr>
      <w:r>
        <w:rPr>
          <w:rFonts w:hint="eastAsia" w:ascii="仿宋_GB2312" w:hAnsi="Arial"/>
          <w:sz w:val="24"/>
        </w:rPr>
        <w:t>（一）</w:t>
      </w:r>
      <w:r>
        <w:rPr>
          <w:rFonts w:hint="eastAsia" w:ascii="仿宋_GB2312" w:hAnsi="宋体"/>
          <w:sz w:val="24"/>
        </w:rPr>
        <w:t>风险治理和内控管理的组织架构及相关职能部门运转情况。</w:t>
      </w:r>
    </w:p>
    <w:p>
      <w:pPr>
        <w:autoSpaceDE w:val="0"/>
        <w:autoSpaceDN w:val="0"/>
        <w:spacing w:line="500" w:lineRule="exact"/>
        <w:ind w:firstLine="480"/>
        <w:jc w:val="left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（二）风险和内控管理制度及实施情况。</w:t>
      </w:r>
    </w:p>
    <w:p>
      <w:pPr>
        <w:spacing w:line="500" w:lineRule="exact"/>
        <w:ind w:firstLine="48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lang w:eastAsia="zh-CN"/>
        </w:rPr>
        <w:t>九</w:t>
      </w:r>
      <w:r>
        <w:rPr>
          <w:rFonts w:hint="eastAsia" w:ascii="黑体" w:hAnsi="宋体" w:eastAsia="黑体"/>
          <w:sz w:val="24"/>
        </w:rPr>
        <w:t>、问题整改情况</w:t>
      </w:r>
    </w:p>
    <w:p>
      <w:pPr>
        <w:spacing w:line="500" w:lineRule="exact"/>
        <w:ind w:firstLine="480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企业对有关方面的检查、审计等监管工作中发现问题的整改落实情况及拟采取的主要措施。</w:t>
      </w:r>
    </w:p>
    <w:p>
      <w:pPr>
        <w:spacing w:line="500" w:lineRule="exact"/>
        <w:ind w:firstLine="480"/>
        <w:rPr>
          <w:rFonts w:ascii="仿宋_GB2312" w:hAnsi="宋体"/>
          <w:sz w:val="24"/>
        </w:rPr>
      </w:pPr>
      <w:bookmarkStart w:id="3" w:name="_Hlk20078438"/>
      <w:r>
        <w:rPr>
          <w:rFonts w:hint="eastAsia" w:ascii="黑体" w:hAnsi="宋体" w:eastAsia="黑体"/>
          <w:kern w:val="2"/>
          <w:sz w:val="24"/>
          <w:lang w:eastAsia="zh-CN"/>
        </w:rPr>
        <w:t>十</w:t>
      </w:r>
      <w:r>
        <w:rPr>
          <w:rFonts w:hint="eastAsia" w:ascii="黑体" w:hAnsi="宋体" w:eastAsia="黑体"/>
          <w:kern w:val="2"/>
          <w:sz w:val="24"/>
        </w:rPr>
        <w:t>、财务会计决算工作</w:t>
      </w:r>
      <w:r>
        <w:rPr>
          <w:rFonts w:hint="eastAsia" w:ascii="黑体" w:hAnsi="宋体" w:eastAsia="黑体"/>
          <w:sz w:val="24"/>
        </w:rPr>
        <w:t>建议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92" w:afterLines="50" w:line="500" w:lineRule="exact"/>
        <w:ind w:firstLine="480"/>
        <w:textAlignment w:val="auto"/>
        <w:rPr>
          <w:rFonts w:hint="eastAsia" w:ascii="仿宋_GB2312" w:hAnsi="仿宋_GB2312" w:eastAsia="仿宋_GB2312"/>
          <w:sz w:val="24"/>
          <w:shd w:val="clear" w:color="auto" w:fill="auto"/>
          <w:lang w:eastAsia="zh-CN"/>
        </w:rPr>
      </w:pPr>
      <w:r>
        <w:rPr>
          <w:rFonts w:hint="eastAsia" w:ascii="仿宋_GB2312" w:hAnsi="仿宋_GB2312"/>
          <w:sz w:val="24"/>
          <w:lang w:eastAsia="zh-CN"/>
        </w:rPr>
        <w:t>对国有企业</w:t>
      </w:r>
      <w:r>
        <w:rPr>
          <w:rFonts w:hint="eastAsia" w:ascii="仿宋_GB2312" w:hAnsi="仿宋_GB2312"/>
          <w:sz w:val="24"/>
        </w:rPr>
        <w:t>财务会计决算工作的有关建议</w:t>
      </w:r>
      <w:r>
        <w:rPr>
          <w:rFonts w:hint="eastAsia" w:ascii="仿宋_GB2312" w:hAnsi="仿宋_GB2312"/>
          <w:sz w:val="24"/>
          <w:lang w:eastAsia="zh-CN"/>
        </w:rPr>
        <w:t>，</w:t>
      </w:r>
      <w:r>
        <w:rPr>
          <w:rFonts w:hint="eastAsia" w:ascii="仿宋_GB2312" w:hAnsi="仿宋_GB2312"/>
          <w:sz w:val="24"/>
          <w:shd w:val="clear" w:color="auto" w:fill="auto"/>
          <w:lang w:eastAsia="zh-CN"/>
        </w:rPr>
        <w:t>包括报表内容、软件系统、报送审核流程、培训指导及其他方面。</w:t>
      </w:r>
    </w:p>
    <w:bookmarkEnd w:id="0"/>
    <w:p>
      <w:pPr>
        <w:pStyle w:val="4"/>
        <w:rPr>
          <w:rFonts w:hint="eastAsia" w:ascii="楷体_GB2312" w:hAnsi="楷体_GB2312" w:eastAsia="楷体_GB2312" w:cs="楷体_GB231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797" w:right="1797" w:bottom="1797" w:left="1797" w:header="851" w:footer="567" w:gutter="0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ind w:firstLine="360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6</w:t>
    </w:r>
    <w:r>
      <w:fldChar w:fldCharType="end"/>
    </w:r>
  </w:p>
  <w:p>
    <w:pPr>
      <w:pStyle w:val="11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ind w:firstLine="360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true"/>
  <w:bordersDoNotSurroundHeader w:val="true"/>
  <w:bordersDoNotSurroundFooter w:val="true"/>
  <w:documentProtection w:enforcement="0"/>
  <w:defaultTabStop w:val="420"/>
  <w:drawingGridHorizontalSpacing w:val="14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C6"/>
    <w:rsid w:val="00021E93"/>
    <w:rsid w:val="000231DE"/>
    <w:rsid w:val="00036AF9"/>
    <w:rsid w:val="00042AEC"/>
    <w:rsid w:val="00050464"/>
    <w:rsid w:val="000508D5"/>
    <w:rsid w:val="000514FB"/>
    <w:rsid w:val="00074AD9"/>
    <w:rsid w:val="00077BCF"/>
    <w:rsid w:val="000816FD"/>
    <w:rsid w:val="00082B01"/>
    <w:rsid w:val="00085C9E"/>
    <w:rsid w:val="000909F2"/>
    <w:rsid w:val="00090AD9"/>
    <w:rsid w:val="000A5283"/>
    <w:rsid w:val="000A7903"/>
    <w:rsid w:val="000B2EE6"/>
    <w:rsid w:val="000B31D8"/>
    <w:rsid w:val="000B4136"/>
    <w:rsid w:val="000B47E4"/>
    <w:rsid w:val="000D076E"/>
    <w:rsid w:val="000D0B67"/>
    <w:rsid w:val="000D6F63"/>
    <w:rsid w:val="000E1ABD"/>
    <w:rsid w:val="000E34ED"/>
    <w:rsid w:val="000F705A"/>
    <w:rsid w:val="00112DD6"/>
    <w:rsid w:val="00113C2D"/>
    <w:rsid w:val="00126B02"/>
    <w:rsid w:val="00135D3F"/>
    <w:rsid w:val="0014269B"/>
    <w:rsid w:val="00156BD6"/>
    <w:rsid w:val="001665B5"/>
    <w:rsid w:val="0017035E"/>
    <w:rsid w:val="00174535"/>
    <w:rsid w:val="00180732"/>
    <w:rsid w:val="00186200"/>
    <w:rsid w:val="001A0F91"/>
    <w:rsid w:val="001A19EF"/>
    <w:rsid w:val="001A20C4"/>
    <w:rsid w:val="001A3E93"/>
    <w:rsid w:val="001A4167"/>
    <w:rsid w:val="001B2C35"/>
    <w:rsid w:val="001B4F9F"/>
    <w:rsid w:val="001C47BB"/>
    <w:rsid w:val="001C4A8A"/>
    <w:rsid w:val="001C5633"/>
    <w:rsid w:val="001E17B7"/>
    <w:rsid w:val="001E2CF5"/>
    <w:rsid w:val="001E54EA"/>
    <w:rsid w:val="001F4985"/>
    <w:rsid w:val="00214C82"/>
    <w:rsid w:val="0022188B"/>
    <w:rsid w:val="00225916"/>
    <w:rsid w:val="002275D2"/>
    <w:rsid w:val="0022773F"/>
    <w:rsid w:val="00231E03"/>
    <w:rsid w:val="00240BFB"/>
    <w:rsid w:val="00240F17"/>
    <w:rsid w:val="00251F6B"/>
    <w:rsid w:val="0026062F"/>
    <w:rsid w:val="0026411B"/>
    <w:rsid w:val="0026694E"/>
    <w:rsid w:val="0027012D"/>
    <w:rsid w:val="00273501"/>
    <w:rsid w:val="00276073"/>
    <w:rsid w:val="002765B3"/>
    <w:rsid w:val="00280844"/>
    <w:rsid w:val="00281237"/>
    <w:rsid w:val="00284CA8"/>
    <w:rsid w:val="002911E3"/>
    <w:rsid w:val="002A6E0D"/>
    <w:rsid w:val="002B3C24"/>
    <w:rsid w:val="002E6D05"/>
    <w:rsid w:val="002F5345"/>
    <w:rsid w:val="002F549C"/>
    <w:rsid w:val="002F75F4"/>
    <w:rsid w:val="003017CC"/>
    <w:rsid w:val="0030651A"/>
    <w:rsid w:val="00330C84"/>
    <w:rsid w:val="00332E24"/>
    <w:rsid w:val="003342E7"/>
    <w:rsid w:val="00336AFF"/>
    <w:rsid w:val="00343E23"/>
    <w:rsid w:val="00347334"/>
    <w:rsid w:val="00347B89"/>
    <w:rsid w:val="00355B0D"/>
    <w:rsid w:val="00365BE4"/>
    <w:rsid w:val="00380DC5"/>
    <w:rsid w:val="00383428"/>
    <w:rsid w:val="00395716"/>
    <w:rsid w:val="003B0899"/>
    <w:rsid w:val="003B7C95"/>
    <w:rsid w:val="003C1235"/>
    <w:rsid w:val="003E04BE"/>
    <w:rsid w:val="003E562F"/>
    <w:rsid w:val="003F3269"/>
    <w:rsid w:val="00405AFA"/>
    <w:rsid w:val="004100E4"/>
    <w:rsid w:val="00420A93"/>
    <w:rsid w:val="00430128"/>
    <w:rsid w:val="004301E7"/>
    <w:rsid w:val="0043185E"/>
    <w:rsid w:val="004336FA"/>
    <w:rsid w:val="0044087B"/>
    <w:rsid w:val="00447AB5"/>
    <w:rsid w:val="00460984"/>
    <w:rsid w:val="00464A1E"/>
    <w:rsid w:val="004A044F"/>
    <w:rsid w:val="004B39AD"/>
    <w:rsid w:val="004B59E8"/>
    <w:rsid w:val="004C1560"/>
    <w:rsid w:val="004C62BA"/>
    <w:rsid w:val="004D7C4F"/>
    <w:rsid w:val="004E05CD"/>
    <w:rsid w:val="004E4A30"/>
    <w:rsid w:val="004E4E93"/>
    <w:rsid w:val="004F0DD5"/>
    <w:rsid w:val="004F6E21"/>
    <w:rsid w:val="004F7FCB"/>
    <w:rsid w:val="00513965"/>
    <w:rsid w:val="00516595"/>
    <w:rsid w:val="005227DB"/>
    <w:rsid w:val="00527589"/>
    <w:rsid w:val="00530F72"/>
    <w:rsid w:val="00533F2C"/>
    <w:rsid w:val="00536D22"/>
    <w:rsid w:val="0054273B"/>
    <w:rsid w:val="00551873"/>
    <w:rsid w:val="00555BCA"/>
    <w:rsid w:val="00555FCB"/>
    <w:rsid w:val="00570B43"/>
    <w:rsid w:val="00570DE7"/>
    <w:rsid w:val="00574A28"/>
    <w:rsid w:val="00580B71"/>
    <w:rsid w:val="00591D7B"/>
    <w:rsid w:val="00593D36"/>
    <w:rsid w:val="00596479"/>
    <w:rsid w:val="005A3F82"/>
    <w:rsid w:val="005B162F"/>
    <w:rsid w:val="005B3F44"/>
    <w:rsid w:val="005B45C5"/>
    <w:rsid w:val="005C1145"/>
    <w:rsid w:val="005C2DDC"/>
    <w:rsid w:val="005C34F4"/>
    <w:rsid w:val="005D3C78"/>
    <w:rsid w:val="005D6282"/>
    <w:rsid w:val="005E5207"/>
    <w:rsid w:val="005E6AA3"/>
    <w:rsid w:val="005F1A17"/>
    <w:rsid w:val="005F69AC"/>
    <w:rsid w:val="006032A0"/>
    <w:rsid w:val="00603EDF"/>
    <w:rsid w:val="0060711A"/>
    <w:rsid w:val="0061603F"/>
    <w:rsid w:val="00620608"/>
    <w:rsid w:val="00625C81"/>
    <w:rsid w:val="00630914"/>
    <w:rsid w:val="00640EA3"/>
    <w:rsid w:val="006476BC"/>
    <w:rsid w:val="00652BA7"/>
    <w:rsid w:val="00664111"/>
    <w:rsid w:val="00677315"/>
    <w:rsid w:val="006810C1"/>
    <w:rsid w:val="006840FF"/>
    <w:rsid w:val="00694E4B"/>
    <w:rsid w:val="006A4CEC"/>
    <w:rsid w:val="006C463E"/>
    <w:rsid w:val="006C48E5"/>
    <w:rsid w:val="006C684A"/>
    <w:rsid w:val="006D061F"/>
    <w:rsid w:val="006E54BB"/>
    <w:rsid w:val="007078DB"/>
    <w:rsid w:val="0071394E"/>
    <w:rsid w:val="00717342"/>
    <w:rsid w:val="0072317E"/>
    <w:rsid w:val="007450D1"/>
    <w:rsid w:val="00746113"/>
    <w:rsid w:val="00753483"/>
    <w:rsid w:val="00761F27"/>
    <w:rsid w:val="00766706"/>
    <w:rsid w:val="00770195"/>
    <w:rsid w:val="0077423D"/>
    <w:rsid w:val="007815DD"/>
    <w:rsid w:val="007917B3"/>
    <w:rsid w:val="007923C8"/>
    <w:rsid w:val="00794927"/>
    <w:rsid w:val="007A62C6"/>
    <w:rsid w:val="007A69C9"/>
    <w:rsid w:val="007B7F48"/>
    <w:rsid w:val="007D3566"/>
    <w:rsid w:val="007D775C"/>
    <w:rsid w:val="007E1072"/>
    <w:rsid w:val="007E185D"/>
    <w:rsid w:val="007E4073"/>
    <w:rsid w:val="007E60B6"/>
    <w:rsid w:val="00802947"/>
    <w:rsid w:val="00823CBB"/>
    <w:rsid w:val="0082499B"/>
    <w:rsid w:val="00825E51"/>
    <w:rsid w:val="00831F8F"/>
    <w:rsid w:val="00832399"/>
    <w:rsid w:val="00834520"/>
    <w:rsid w:val="0083547E"/>
    <w:rsid w:val="00840ADA"/>
    <w:rsid w:val="00841A99"/>
    <w:rsid w:val="008437D8"/>
    <w:rsid w:val="008501DB"/>
    <w:rsid w:val="00861AFD"/>
    <w:rsid w:val="0086549D"/>
    <w:rsid w:val="00872141"/>
    <w:rsid w:val="0088150B"/>
    <w:rsid w:val="0088550D"/>
    <w:rsid w:val="0088651D"/>
    <w:rsid w:val="0088692F"/>
    <w:rsid w:val="00895119"/>
    <w:rsid w:val="00896BA4"/>
    <w:rsid w:val="008A78E9"/>
    <w:rsid w:val="008B2BED"/>
    <w:rsid w:val="008C3D63"/>
    <w:rsid w:val="008C5C0A"/>
    <w:rsid w:val="008E5570"/>
    <w:rsid w:val="008E7892"/>
    <w:rsid w:val="008F5C73"/>
    <w:rsid w:val="00901E66"/>
    <w:rsid w:val="00912FCC"/>
    <w:rsid w:val="00915565"/>
    <w:rsid w:val="00921DC6"/>
    <w:rsid w:val="00924D71"/>
    <w:rsid w:val="0093164D"/>
    <w:rsid w:val="00951701"/>
    <w:rsid w:val="009536E0"/>
    <w:rsid w:val="00954289"/>
    <w:rsid w:val="00956CEE"/>
    <w:rsid w:val="00956DC5"/>
    <w:rsid w:val="00972299"/>
    <w:rsid w:val="00982014"/>
    <w:rsid w:val="00996879"/>
    <w:rsid w:val="00997FCE"/>
    <w:rsid w:val="009A4C73"/>
    <w:rsid w:val="009B29DE"/>
    <w:rsid w:val="009D083E"/>
    <w:rsid w:val="009D116C"/>
    <w:rsid w:val="009D504B"/>
    <w:rsid w:val="009D537C"/>
    <w:rsid w:val="009D6FE0"/>
    <w:rsid w:val="009E32F5"/>
    <w:rsid w:val="009E5203"/>
    <w:rsid w:val="009E53E9"/>
    <w:rsid w:val="009E7BDD"/>
    <w:rsid w:val="00A006EB"/>
    <w:rsid w:val="00A06F43"/>
    <w:rsid w:val="00A07439"/>
    <w:rsid w:val="00A07B97"/>
    <w:rsid w:val="00A07C6B"/>
    <w:rsid w:val="00A12AAC"/>
    <w:rsid w:val="00A17212"/>
    <w:rsid w:val="00A174A1"/>
    <w:rsid w:val="00A205F3"/>
    <w:rsid w:val="00A45C61"/>
    <w:rsid w:val="00A514C6"/>
    <w:rsid w:val="00A54360"/>
    <w:rsid w:val="00A64426"/>
    <w:rsid w:val="00A71034"/>
    <w:rsid w:val="00A83A30"/>
    <w:rsid w:val="00A8583D"/>
    <w:rsid w:val="00A903DA"/>
    <w:rsid w:val="00A907D8"/>
    <w:rsid w:val="00A92380"/>
    <w:rsid w:val="00AA410E"/>
    <w:rsid w:val="00AE416A"/>
    <w:rsid w:val="00AE4C13"/>
    <w:rsid w:val="00AF5BBF"/>
    <w:rsid w:val="00B023E8"/>
    <w:rsid w:val="00B03754"/>
    <w:rsid w:val="00B071E7"/>
    <w:rsid w:val="00B12A60"/>
    <w:rsid w:val="00B16F9D"/>
    <w:rsid w:val="00B32D97"/>
    <w:rsid w:val="00B36F93"/>
    <w:rsid w:val="00B46337"/>
    <w:rsid w:val="00B500A4"/>
    <w:rsid w:val="00B53C98"/>
    <w:rsid w:val="00B57322"/>
    <w:rsid w:val="00B63320"/>
    <w:rsid w:val="00B67A2E"/>
    <w:rsid w:val="00B77014"/>
    <w:rsid w:val="00B80439"/>
    <w:rsid w:val="00B92373"/>
    <w:rsid w:val="00B94919"/>
    <w:rsid w:val="00B95A7A"/>
    <w:rsid w:val="00BA4D1C"/>
    <w:rsid w:val="00BB7413"/>
    <w:rsid w:val="00BC1B0F"/>
    <w:rsid w:val="00BD6D5E"/>
    <w:rsid w:val="00BF1101"/>
    <w:rsid w:val="00BF27A5"/>
    <w:rsid w:val="00C03952"/>
    <w:rsid w:val="00C102E8"/>
    <w:rsid w:val="00C12C0E"/>
    <w:rsid w:val="00C14AC9"/>
    <w:rsid w:val="00C17924"/>
    <w:rsid w:val="00C22EDD"/>
    <w:rsid w:val="00C33BB8"/>
    <w:rsid w:val="00C53B6C"/>
    <w:rsid w:val="00C610FA"/>
    <w:rsid w:val="00C62006"/>
    <w:rsid w:val="00C66D8E"/>
    <w:rsid w:val="00C8533F"/>
    <w:rsid w:val="00C85B84"/>
    <w:rsid w:val="00C954C5"/>
    <w:rsid w:val="00C9752B"/>
    <w:rsid w:val="00CA228E"/>
    <w:rsid w:val="00CA284C"/>
    <w:rsid w:val="00CA3285"/>
    <w:rsid w:val="00CA628E"/>
    <w:rsid w:val="00CB20C5"/>
    <w:rsid w:val="00CB26D0"/>
    <w:rsid w:val="00CC09AC"/>
    <w:rsid w:val="00CD1D0D"/>
    <w:rsid w:val="00CD5079"/>
    <w:rsid w:val="00CE2DDD"/>
    <w:rsid w:val="00CE45FA"/>
    <w:rsid w:val="00CE4E2B"/>
    <w:rsid w:val="00CF22E4"/>
    <w:rsid w:val="00D03A5C"/>
    <w:rsid w:val="00D03DAF"/>
    <w:rsid w:val="00D05234"/>
    <w:rsid w:val="00D05DEC"/>
    <w:rsid w:val="00D2110B"/>
    <w:rsid w:val="00D46739"/>
    <w:rsid w:val="00D66AF8"/>
    <w:rsid w:val="00D67349"/>
    <w:rsid w:val="00D67AA9"/>
    <w:rsid w:val="00D73EB6"/>
    <w:rsid w:val="00D80248"/>
    <w:rsid w:val="00D84159"/>
    <w:rsid w:val="00D84214"/>
    <w:rsid w:val="00D84275"/>
    <w:rsid w:val="00D84464"/>
    <w:rsid w:val="00D93C5F"/>
    <w:rsid w:val="00DA22FD"/>
    <w:rsid w:val="00DB69F5"/>
    <w:rsid w:val="00DD15C0"/>
    <w:rsid w:val="00DD5D1D"/>
    <w:rsid w:val="00DE04CE"/>
    <w:rsid w:val="00DE335C"/>
    <w:rsid w:val="00DF13DF"/>
    <w:rsid w:val="00E01078"/>
    <w:rsid w:val="00E03C46"/>
    <w:rsid w:val="00E41310"/>
    <w:rsid w:val="00E43E79"/>
    <w:rsid w:val="00E44835"/>
    <w:rsid w:val="00E54858"/>
    <w:rsid w:val="00E60234"/>
    <w:rsid w:val="00E92768"/>
    <w:rsid w:val="00E93AC5"/>
    <w:rsid w:val="00EB06B8"/>
    <w:rsid w:val="00EB2532"/>
    <w:rsid w:val="00EC677C"/>
    <w:rsid w:val="00EE285D"/>
    <w:rsid w:val="00F1102F"/>
    <w:rsid w:val="00F171C9"/>
    <w:rsid w:val="00F24904"/>
    <w:rsid w:val="00F3281B"/>
    <w:rsid w:val="00F35DB8"/>
    <w:rsid w:val="00F35F08"/>
    <w:rsid w:val="00F4155F"/>
    <w:rsid w:val="00F47821"/>
    <w:rsid w:val="00F556F4"/>
    <w:rsid w:val="00F57BCB"/>
    <w:rsid w:val="00F57CF6"/>
    <w:rsid w:val="00F616CD"/>
    <w:rsid w:val="00F648CD"/>
    <w:rsid w:val="00F65059"/>
    <w:rsid w:val="00F826C0"/>
    <w:rsid w:val="00F869B1"/>
    <w:rsid w:val="00F951F9"/>
    <w:rsid w:val="00FA332E"/>
    <w:rsid w:val="00FA5F40"/>
    <w:rsid w:val="00FA6C80"/>
    <w:rsid w:val="00FB4AEB"/>
    <w:rsid w:val="00FC4A42"/>
    <w:rsid w:val="00FC4E7D"/>
    <w:rsid w:val="00FC5590"/>
    <w:rsid w:val="00FE45FC"/>
    <w:rsid w:val="00FE50DA"/>
    <w:rsid w:val="280B6698"/>
    <w:rsid w:val="2DEF9F14"/>
    <w:rsid w:val="4FD9BE16"/>
    <w:rsid w:val="5F6F92C9"/>
    <w:rsid w:val="5FEB3E4C"/>
    <w:rsid w:val="70341AAF"/>
    <w:rsid w:val="77ED1742"/>
    <w:rsid w:val="7CDF4AD0"/>
    <w:rsid w:val="BF7B7899"/>
    <w:rsid w:val="BFAB0B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579" w:lineRule="exact"/>
      <w:ind w:firstLine="200" w:firstLineChars="200"/>
      <w:jc w:val="both"/>
    </w:pPr>
    <w:rPr>
      <w:rFonts w:ascii="Times New Roman" w:hAnsi="Times New Roman" w:eastAsia="仿宋_GB2312" w:cs="Times New Roman"/>
      <w:kern w:val="0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line="360" w:lineRule="auto"/>
      <w:ind w:firstLine="0" w:firstLineChars="0"/>
      <w:jc w:val="center"/>
      <w:outlineLvl w:val="0"/>
    </w:pPr>
    <w:rPr>
      <w:rFonts w:ascii="方正小标宋简体" w:hAnsi="方正小标宋简体" w:eastAsia="方正小标宋简体"/>
      <w:bCs/>
      <w:kern w:val="44"/>
      <w:sz w:val="44"/>
      <w:szCs w:val="44"/>
    </w:rPr>
  </w:style>
  <w:style w:type="paragraph" w:styleId="3">
    <w:name w:val="heading 2"/>
    <w:next w:val="1"/>
    <w:link w:val="22"/>
    <w:unhideWhenUsed/>
    <w:qFormat/>
    <w:uiPriority w:val="9"/>
    <w:pPr>
      <w:keepNext/>
      <w:adjustRightInd w:val="0"/>
      <w:spacing w:line="560" w:lineRule="exact"/>
      <w:ind w:firstLine="640" w:firstLineChars="200"/>
      <w:outlineLvl w:val="1"/>
    </w:pPr>
    <w:rPr>
      <w:rFonts w:ascii="黑体" w:hAnsi="黑体" w:eastAsia="黑体" w:cstheme="majorBidi"/>
      <w:bCs/>
      <w:kern w:val="2"/>
      <w:sz w:val="32"/>
      <w:szCs w:val="28"/>
      <w:lang w:val="en-US" w:eastAsia="zh-CN" w:bidi="ar-SA"/>
    </w:rPr>
  </w:style>
  <w:style w:type="paragraph" w:styleId="4">
    <w:name w:val="heading 3"/>
    <w:basedOn w:val="1"/>
    <w:next w:val="1"/>
    <w:link w:val="23"/>
    <w:unhideWhenUsed/>
    <w:qFormat/>
    <w:uiPriority w:val="9"/>
    <w:pPr>
      <w:spacing w:line="240" w:lineRule="auto"/>
      <w:ind w:firstLine="0" w:firstLineChars="0"/>
      <w:outlineLvl w:val="2"/>
    </w:pPr>
    <w:rPr>
      <w:rFonts w:ascii="楷体" w:hAnsi="楷体" w:eastAsia="宋体"/>
      <w:b/>
      <w:bCs/>
      <w:kern w:val="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7"/>
    <w:semiHidden/>
    <w:unhideWhenUsed/>
    <w:qFormat/>
    <w:uiPriority w:val="99"/>
    <w:pPr>
      <w:jc w:val="left"/>
    </w:pPr>
  </w:style>
  <w:style w:type="paragraph" w:styleId="6">
    <w:name w:val="Body Text"/>
    <w:basedOn w:val="1"/>
    <w:link w:val="39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link w:val="35"/>
    <w:qFormat/>
    <w:uiPriority w:val="0"/>
    <w:pPr>
      <w:adjustRightInd/>
      <w:spacing w:line="240" w:lineRule="auto"/>
      <w:ind w:firstLine="420" w:firstLineChars="0"/>
    </w:pPr>
    <w:rPr>
      <w:rFonts w:ascii="宋体" w:eastAsia="宋体"/>
      <w:kern w:val="2"/>
      <w:sz w:val="21"/>
      <w:szCs w:val="20"/>
    </w:rPr>
  </w:style>
  <w:style w:type="paragraph" w:styleId="8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9">
    <w:name w:val="endnote text"/>
    <w:basedOn w:val="1"/>
    <w:link w:val="29"/>
    <w:semiHidden/>
    <w:unhideWhenUsed/>
    <w:qFormat/>
    <w:uiPriority w:val="99"/>
    <w:pPr>
      <w:snapToGrid w:val="0"/>
      <w:jc w:val="left"/>
    </w:pPr>
  </w:style>
  <w:style w:type="paragraph" w:styleId="10">
    <w:name w:val="Balloon Text"/>
    <w:basedOn w:val="1"/>
    <w:link w:val="3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1">
    <w:name w:val="footer"/>
    <w:basedOn w:val="1"/>
    <w:link w:val="27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2"/>
    <w:qFormat/>
    <w:uiPriority w:val="11"/>
    <w:pPr>
      <w:spacing w:before="240" w:after="60" w:line="312" w:lineRule="atLeast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Cs w:val="32"/>
    </w:rPr>
  </w:style>
  <w:style w:type="paragraph" w:styleId="14">
    <w:name w:val="annotation subject"/>
    <w:basedOn w:val="5"/>
    <w:next w:val="5"/>
    <w:link w:val="38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endnote reference"/>
    <w:basedOn w:val="17"/>
    <w:semiHidden/>
    <w:unhideWhenUsed/>
    <w:qFormat/>
    <w:uiPriority w:val="99"/>
    <w:rPr>
      <w:vertAlign w:val="superscript"/>
    </w:rPr>
  </w:style>
  <w:style w:type="character" w:styleId="19">
    <w:name w:val="page number"/>
    <w:basedOn w:val="17"/>
    <w:qFormat/>
    <w:uiPriority w:val="0"/>
  </w:style>
  <w:style w:type="character" w:styleId="20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21">
    <w:name w:val="标题 1 Char"/>
    <w:link w:val="2"/>
    <w:qFormat/>
    <w:uiPriority w:val="9"/>
    <w:rPr>
      <w:rFonts w:ascii="方正小标宋简体" w:hAnsi="方正小标宋简体" w:eastAsia="方正小标宋简体" w:cs="Times New Roman"/>
      <w:bCs/>
      <w:kern w:val="44"/>
      <w:sz w:val="44"/>
      <w:szCs w:val="44"/>
    </w:rPr>
  </w:style>
  <w:style w:type="character" w:customStyle="1" w:styleId="22">
    <w:name w:val="标题 2 Char"/>
    <w:basedOn w:val="17"/>
    <w:link w:val="3"/>
    <w:qFormat/>
    <w:uiPriority w:val="9"/>
    <w:rPr>
      <w:rFonts w:ascii="黑体" w:hAnsi="黑体" w:eastAsia="黑体" w:cstheme="majorBidi"/>
      <w:bCs/>
      <w:sz w:val="32"/>
      <w:szCs w:val="28"/>
    </w:rPr>
  </w:style>
  <w:style w:type="character" w:customStyle="1" w:styleId="23">
    <w:name w:val="标题 3 Char"/>
    <w:basedOn w:val="17"/>
    <w:link w:val="4"/>
    <w:qFormat/>
    <w:uiPriority w:val="9"/>
    <w:rPr>
      <w:rFonts w:ascii="楷体" w:hAnsi="楷体" w:eastAsia="宋体" w:cs="Times New Roman"/>
      <w:b/>
      <w:bCs/>
      <w:sz w:val="28"/>
      <w:szCs w:val="32"/>
    </w:rPr>
  </w:style>
  <w:style w:type="paragraph" w:customStyle="1" w:styleId="24">
    <w:name w:val="附件"/>
    <w:basedOn w:val="1"/>
    <w:next w:val="1"/>
    <w:link w:val="25"/>
    <w:qFormat/>
    <w:uiPriority w:val="0"/>
    <w:pPr>
      <w:jc w:val="left"/>
      <w:outlineLvl w:val="1"/>
    </w:pPr>
    <w:rPr>
      <w:rFonts w:ascii="黑体" w:hAnsi="黑体" w:eastAsia="黑体"/>
    </w:rPr>
  </w:style>
  <w:style w:type="character" w:customStyle="1" w:styleId="25">
    <w:name w:val="附件 字符"/>
    <w:basedOn w:val="17"/>
    <w:link w:val="24"/>
    <w:qFormat/>
    <w:uiPriority w:val="0"/>
    <w:rPr>
      <w:rFonts w:ascii="黑体" w:hAnsi="黑体" w:eastAsia="黑体" w:cs="Times New Roman"/>
      <w:kern w:val="0"/>
      <w:sz w:val="32"/>
      <w:szCs w:val="24"/>
    </w:rPr>
  </w:style>
  <w:style w:type="character" w:customStyle="1" w:styleId="26">
    <w:name w:val="页眉 Char"/>
    <w:basedOn w:val="17"/>
    <w:link w:val="12"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7">
    <w:name w:val="页脚 Char"/>
    <w:basedOn w:val="17"/>
    <w:link w:val="11"/>
    <w:qFormat/>
    <w:uiPriority w:val="0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8">
    <w:name w:val="日期 Char"/>
    <w:basedOn w:val="17"/>
    <w:link w:val="8"/>
    <w:semiHidden/>
    <w:qFormat/>
    <w:uiPriority w:val="99"/>
    <w:rPr>
      <w:rFonts w:ascii="Times New Roman" w:hAnsi="Times New Roman" w:eastAsia="仿宋_GB2312" w:cs="Times New Roman"/>
      <w:kern w:val="0"/>
      <w:sz w:val="32"/>
      <w:szCs w:val="24"/>
    </w:rPr>
  </w:style>
  <w:style w:type="character" w:customStyle="1" w:styleId="29">
    <w:name w:val="尾注文本 Char"/>
    <w:basedOn w:val="17"/>
    <w:link w:val="9"/>
    <w:semiHidden/>
    <w:qFormat/>
    <w:uiPriority w:val="99"/>
    <w:rPr>
      <w:rFonts w:ascii="Times New Roman" w:hAnsi="Times New Roman" w:eastAsia="仿宋_GB2312" w:cs="Times New Roman"/>
      <w:kern w:val="0"/>
      <w:sz w:val="32"/>
      <w:szCs w:val="24"/>
    </w:rPr>
  </w:style>
  <w:style w:type="paragraph" w:customStyle="1" w:styleId="30">
    <w:name w:val="表格正文"/>
    <w:basedOn w:val="1"/>
    <w:link w:val="31"/>
    <w:qFormat/>
    <w:uiPriority w:val="0"/>
    <w:pPr>
      <w:snapToGrid w:val="0"/>
      <w:spacing w:line="240" w:lineRule="auto"/>
      <w:ind w:firstLine="0" w:firstLineChars="0"/>
      <w:jc w:val="center"/>
    </w:pPr>
    <w:rPr>
      <w:rFonts w:eastAsia="宋体"/>
    </w:rPr>
  </w:style>
  <w:style w:type="character" w:customStyle="1" w:styleId="31">
    <w:name w:val="表格正文 字符"/>
    <w:basedOn w:val="17"/>
    <w:link w:val="30"/>
    <w:qFormat/>
    <w:uiPriority w:val="0"/>
    <w:rPr>
      <w:rFonts w:ascii="Times New Roman" w:hAnsi="Times New Roman" w:eastAsia="宋体" w:cs="Times New Roman"/>
      <w:kern w:val="0"/>
      <w:sz w:val="28"/>
      <w:szCs w:val="24"/>
    </w:rPr>
  </w:style>
  <w:style w:type="character" w:customStyle="1" w:styleId="32">
    <w:name w:val="副标题 Char"/>
    <w:basedOn w:val="17"/>
    <w:link w:val="13"/>
    <w:qFormat/>
    <w:uiPriority w:val="11"/>
    <w:rPr>
      <w:b/>
      <w:bCs/>
      <w:kern w:val="28"/>
      <w:sz w:val="32"/>
      <w:szCs w:val="32"/>
    </w:rPr>
  </w:style>
  <w:style w:type="paragraph" w:styleId="33">
    <w:name w:val="No Spacing"/>
    <w:qFormat/>
    <w:uiPriority w:val="1"/>
    <w:pPr>
      <w:widowControl w:val="0"/>
      <w:adjustRightInd w:val="0"/>
      <w:snapToGrid w:val="0"/>
      <w:jc w:val="center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character" w:customStyle="1" w:styleId="34">
    <w:name w:val="批注框文本 Char"/>
    <w:basedOn w:val="17"/>
    <w:link w:val="10"/>
    <w:semiHidden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35">
    <w:name w:val="正文文本缩进 Char"/>
    <w:basedOn w:val="17"/>
    <w:link w:val="7"/>
    <w:qFormat/>
    <w:uiPriority w:val="0"/>
    <w:rPr>
      <w:rFonts w:ascii="宋体" w:hAnsi="Times New Roman" w:eastAsia="宋体" w:cs="Times New Roman"/>
      <w:szCs w:val="20"/>
    </w:r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37">
    <w:name w:val="批注文字 Char"/>
    <w:basedOn w:val="17"/>
    <w:link w:val="5"/>
    <w:semiHidden/>
    <w:qFormat/>
    <w:uiPriority w:val="99"/>
    <w:rPr>
      <w:rFonts w:ascii="Times New Roman" w:hAnsi="Times New Roman" w:eastAsia="仿宋_GB2312" w:cs="Times New Roman"/>
      <w:kern w:val="0"/>
      <w:sz w:val="28"/>
      <w:szCs w:val="24"/>
    </w:rPr>
  </w:style>
  <w:style w:type="character" w:customStyle="1" w:styleId="38">
    <w:name w:val="批注主题 Char"/>
    <w:basedOn w:val="37"/>
    <w:link w:val="14"/>
    <w:semiHidden/>
    <w:qFormat/>
    <w:uiPriority w:val="99"/>
    <w:rPr>
      <w:rFonts w:ascii="Times New Roman" w:hAnsi="Times New Roman" w:eastAsia="仿宋_GB2312" w:cs="Times New Roman"/>
      <w:b/>
      <w:bCs/>
      <w:kern w:val="0"/>
      <w:sz w:val="28"/>
      <w:szCs w:val="24"/>
    </w:rPr>
  </w:style>
  <w:style w:type="character" w:customStyle="1" w:styleId="39">
    <w:name w:val="正文文本 Char"/>
    <w:basedOn w:val="17"/>
    <w:link w:val="6"/>
    <w:semiHidden/>
    <w:qFormat/>
    <w:uiPriority w:val="99"/>
    <w:rPr>
      <w:rFonts w:ascii="Times New Roman" w:hAnsi="Times New Roman" w:eastAsia="仿宋_GB2312" w:cs="Times New Roman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491</Words>
  <Characters>2803</Characters>
  <Lines>23</Lines>
  <Paragraphs>6</Paragraphs>
  <TotalTime>145</TotalTime>
  <ScaleCrop>false</ScaleCrop>
  <LinksUpToDate>false</LinksUpToDate>
  <CharactersWithSpaces>3288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2020-11-07T10:10:00Z</dcterms:created>
  <dc:creator>wang shu</dc:creator>
  <cp:lastModifiedBy>lenovo</cp:lastModifiedBy>
  <cp:lastPrinted>2020-11-07T08:59:00Z</cp:lastPrinted>
  <dcterms:modified xsi:type="dcterms:W3CDTF">2022-01-28T14:48:09Z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