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E80036" w:rsidRDefault="00F8158C" w:rsidP="00F8158C">
      <w:pPr>
        <w:jc w:val="center"/>
        <w:rPr>
          <w:rFonts w:ascii="方正小标宋简体" w:eastAsia="方正小标宋简体" w:hAnsi="宋体"/>
          <w:color w:val="FF0000"/>
          <w:spacing w:val="266"/>
          <w:w w:val="72"/>
          <w:kern w:val="0"/>
          <w:sz w:val="72"/>
          <w:szCs w:val="72"/>
        </w:rPr>
      </w:pPr>
      <w:r w:rsidRPr="000962E6">
        <w:rPr>
          <w:rFonts w:ascii="方正小标宋简体" w:eastAsia="方正小标宋简体" w:hAnsi="宋体" w:hint="eastAsia"/>
          <w:color w:val="FF0000"/>
          <w:spacing w:val="174"/>
          <w:w w:val="72"/>
          <w:kern w:val="0"/>
          <w:sz w:val="72"/>
          <w:szCs w:val="72"/>
          <w:fitText w:val="8320" w:id="184296448"/>
        </w:rPr>
        <w:t>上海市教育委员会文</w:t>
      </w:r>
      <w:r w:rsidRPr="000962E6">
        <w:rPr>
          <w:rFonts w:ascii="方正小标宋简体" w:eastAsia="方正小标宋简体" w:hAnsi="宋体" w:hint="eastAsia"/>
          <w:color w:val="FF0000"/>
          <w:spacing w:val="7"/>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779D8" w:rsidP="000962E6">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E80036">
        <w:rPr>
          <w:rFonts w:ascii="仿宋_GB2312" w:eastAsia="仿宋_GB2312" w:hint="eastAsia"/>
          <w:sz w:val="30"/>
          <w:szCs w:val="30"/>
        </w:rPr>
        <w:t>终</w:t>
      </w:r>
      <w:r w:rsidRPr="00B0219A">
        <w:rPr>
          <w:rFonts w:ascii="仿宋_GB2312" w:eastAsia="仿宋_GB2312"/>
          <w:sz w:val="30"/>
          <w:szCs w:val="30"/>
        </w:rPr>
        <w:t>〔</w:t>
      </w:r>
      <w:r w:rsidRPr="00B0219A">
        <w:rPr>
          <w:rFonts w:ascii="仿宋_GB2312" w:eastAsia="仿宋_GB2312" w:hint="eastAsia"/>
          <w:sz w:val="30"/>
          <w:szCs w:val="30"/>
        </w:rPr>
        <w:t>20</w:t>
      </w:r>
      <w:r w:rsidR="003C6054">
        <w:rPr>
          <w:rFonts w:ascii="仿宋_GB2312" w:eastAsia="仿宋_GB2312" w:hint="eastAsia"/>
          <w:sz w:val="30"/>
          <w:szCs w:val="30"/>
        </w:rPr>
        <w:t>22</w:t>
      </w:r>
      <w:r w:rsidRPr="00B0219A">
        <w:rPr>
          <w:rFonts w:ascii="仿宋_GB2312" w:eastAsia="仿宋_GB2312"/>
          <w:sz w:val="30"/>
          <w:szCs w:val="30"/>
        </w:rPr>
        <w:t>〕</w:t>
      </w:r>
      <w:r w:rsidR="00E80036">
        <w:rPr>
          <w:rFonts w:ascii="仿宋_GB2312" w:eastAsia="仿宋_GB2312" w:hint="eastAsia"/>
          <w:sz w:val="30"/>
          <w:szCs w:val="30"/>
        </w:rPr>
        <w:t>3</w:t>
      </w:r>
      <w:r w:rsidRPr="00B0219A">
        <w:rPr>
          <w:rFonts w:ascii="仿宋_GB2312" w:eastAsia="仿宋_GB2312" w:hint="eastAsia"/>
          <w:sz w:val="30"/>
          <w:szCs w:val="30"/>
        </w:rPr>
        <w:t>号</w:t>
      </w:r>
    </w:p>
    <w:p w:rsidR="004779D8" w:rsidRDefault="004779D8">
      <w:pPr>
        <w:spacing w:line="560" w:lineRule="exact"/>
        <w:rPr>
          <w:rFonts w:ascii="仿宋_GB2312" w:eastAsia="仿宋_GB2312"/>
          <w:sz w:val="32"/>
        </w:rPr>
      </w:pPr>
    </w:p>
    <w:p w:rsidR="00E80036" w:rsidRDefault="004779D8">
      <w:pPr>
        <w:spacing w:line="560" w:lineRule="exact"/>
        <w:jc w:val="center"/>
        <w:rPr>
          <w:rFonts w:ascii="方正小标宋简体" w:eastAsia="方正小标宋简体"/>
          <w:spacing w:val="-10"/>
          <w:sz w:val="38"/>
          <w:szCs w:val="38"/>
        </w:rPr>
      </w:pPr>
      <w:r w:rsidRPr="00B0219A">
        <w:rPr>
          <w:rFonts w:ascii="方正小标宋简体" w:eastAsia="方正小标宋简体" w:hint="eastAsia"/>
          <w:sz w:val="38"/>
          <w:szCs w:val="38"/>
        </w:rPr>
        <w:t>上海市教育委员会关于</w:t>
      </w:r>
      <w:r w:rsidR="00E80036">
        <w:rPr>
          <w:rFonts w:ascii="方正小标宋简体" w:eastAsia="方正小标宋简体" w:hint="eastAsia"/>
          <w:spacing w:val="-10"/>
          <w:sz w:val="38"/>
          <w:szCs w:val="38"/>
        </w:rPr>
        <w:t>印发《上海市老年教育发展</w:t>
      </w:r>
    </w:p>
    <w:p w:rsidR="004779D8" w:rsidRPr="00B0219A" w:rsidRDefault="00E80036">
      <w:pPr>
        <w:spacing w:line="560" w:lineRule="exact"/>
        <w:jc w:val="center"/>
        <w:rPr>
          <w:rFonts w:ascii="方正小标宋简体" w:eastAsia="方正小标宋简体"/>
          <w:sz w:val="38"/>
          <w:szCs w:val="38"/>
        </w:rPr>
      </w:pPr>
      <w:r>
        <w:rPr>
          <w:rFonts w:ascii="方正小标宋简体" w:eastAsia="方正小标宋简体" w:hint="eastAsia"/>
          <w:spacing w:val="-10"/>
          <w:sz w:val="38"/>
          <w:szCs w:val="38"/>
        </w:rPr>
        <w:t>“十四五”规划》的通知</w:t>
      </w:r>
    </w:p>
    <w:p w:rsidR="004779D8" w:rsidRDefault="004779D8">
      <w:pPr>
        <w:spacing w:line="560" w:lineRule="exact"/>
        <w:rPr>
          <w:rFonts w:ascii="仿宋_GB2312" w:eastAsia="仿宋_GB2312"/>
          <w:sz w:val="32"/>
        </w:rPr>
      </w:pPr>
    </w:p>
    <w:p w:rsidR="00E80036" w:rsidRDefault="00E80036" w:rsidP="00E80036">
      <w:pPr>
        <w:spacing w:line="500" w:lineRule="exact"/>
        <w:rPr>
          <w:rFonts w:ascii="仿宋_GB2312" w:eastAsia="仿宋_GB2312" w:hAnsi="华文中宋"/>
          <w:sz w:val="30"/>
          <w:szCs w:val="30"/>
        </w:rPr>
      </w:pPr>
      <w:bookmarkStart w:id="0" w:name="_Hlk57024908"/>
      <w:r>
        <w:rPr>
          <w:rFonts w:ascii="仿宋_GB2312" w:eastAsia="仿宋_GB2312" w:hAnsi="华文中宋" w:hint="eastAsia"/>
          <w:sz w:val="30"/>
          <w:szCs w:val="30"/>
        </w:rPr>
        <w:t>各高等学校、各区教育局、各有关单位：</w:t>
      </w:r>
    </w:p>
    <w:p w:rsidR="00E80036" w:rsidRDefault="00E80036" w:rsidP="00E80036">
      <w:pPr>
        <w:spacing w:line="500" w:lineRule="exact"/>
        <w:ind w:firstLineChars="200" w:firstLine="600"/>
        <w:rPr>
          <w:rFonts w:ascii="仿宋_GB2312" w:eastAsia="仿宋_GB2312" w:hAnsi="华文中宋"/>
          <w:sz w:val="30"/>
          <w:szCs w:val="30"/>
        </w:rPr>
      </w:pPr>
      <w:r>
        <w:rPr>
          <w:rFonts w:ascii="仿宋_GB2312" w:eastAsia="仿宋_GB2312" w:hAnsi="华文中宋" w:hint="eastAsia"/>
          <w:sz w:val="30"/>
          <w:szCs w:val="30"/>
        </w:rPr>
        <w:t>现将《上海市老年教育发展“十四五”规划》印发给你们，请认真按照执行。</w:t>
      </w:r>
    </w:p>
    <w:p w:rsidR="00E80036" w:rsidRDefault="00E80036" w:rsidP="00E80036">
      <w:pPr>
        <w:spacing w:line="500" w:lineRule="exact"/>
        <w:ind w:firstLineChars="200" w:firstLine="600"/>
        <w:rPr>
          <w:rFonts w:ascii="仿宋_GB2312" w:eastAsia="仿宋_GB2312" w:hAnsi="华文中宋"/>
          <w:sz w:val="30"/>
          <w:szCs w:val="30"/>
        </w:rPr>
      </w:pPr>
    </w:p>
    <w:p w:rsidR="00E80036" w:rsidRDefault="00E80036" w:rsidP="00E80036">
      <w:pPr>
        <w:spacing w:line="500" w:lineRule="exact"/>
        <w:ind w:firstLineChars="200" w:firstLine="600"/>
        <w:rPr>
          <w:rFonts w:ascii="仿宋_GB2312" w:eastAsia="仿宋_GB2312" w:hAnsi="华文中宋"/>
          <w:sz w:val="30"/>
          <w:szCs w:val="30"/>
        </w:rPr>
      </w:pPr>
      <w:r>
        <w:rPr>
          <w:rFonts w:ascii="仿宋_GB2312" w:eastAsia="仿宋_GB2312" w:hAnsi="华文中宋" w:hint="eastAsia"/>
          <w:sz w:val="30"/>
          <w:szCs w:val="30"/>
        </w:rPr>
        <w:t>附件：上海市老年教育发展“十四五”规划</w:t>
      </w:r>
    </w:p>
    <w:p w:rsidR="00E80036" w:rsidRDefault="00E80036" w:rsidP="00E80036">
      <w:pPr>
        <w:spacing w:line="500" w:lineRule="exact"/>
        <w:ind w:firstLineChars="200" w:firstLine="600"/>
        <w:rPr>
          <w:rFonts w:ascii="仿宋_GB2312" w:eastAsia="仿宋_GB2312" w:hAnsi="华文中宋"/>
          <w:sz w:val="30"/>
          <w:szCs w:val="30"/>
        </w:rPr>
      </w:pPr>
    </w:p>
    <w:p w:rsidR="00E80036" w:rsidRPr="00E80036" w:rsidRDefault="00E80036" w:rsidP="00E80036">
      <w:pPr>
        <w:spacing w:line="500" w:lineRule="exact"/>
        <w:ind w:firstLineChars="200" w:firstLine="600"/>
        <w:rPr>
          <w:rFonts w:ascii="仿宋_GB2312" w:eastAsia="仿宋_GB2312" w:hAnsi="华文中宋"/>
          <w:sz w:val="30"/>
          <w:szCs w:val="30"/>
        </w:rPr>
      </w:pPr>
    </w:p>
    <w:p w:rsidR="00E80036" w:rsidRDefault="00E80036" w:rsidP="00E80036">
      <w:pPr>
        <w:spacing w:line="500" w:lineRule="exact"/>
        <w:ind w:leftChars="142" w:left="298" w:firstLineChars="100" w:firstLine="300"/>
        <w:rPr>
          <w:rFonts w:ascii="仿宋_GB2312" w:eastAsia="仿宋_GB2312" w:hAnsi="华文中宋"/>
          <w:sz w:val="30"/>
          <w:szCs w:val="30"/>
        </w:rPr>
      </w:pPr>
      <w:r>
        <w:rPr>
          <w:rFonts w:ascii="仿宋_GB2312" w:eastAsia="仿宋_GB2312" w:hAnsi="华文中宋" w:hint="eastAsia"/>
          <w:sz w:val="30"/>
          <w:szCs w:val="30"/>
        </w:rPr>
        <w:t xml:space="preserve">                          上 海 市 教 育 委 员 会</w:t>
      </w:r>
    </w:p>
    <w:p w:rsidR="00E80036" w:rsidRDefault="00E80036" w:rsidP="00E80036">
      <w:pPr>
        <w:spacing w:line="500" w:lineRule="exact"/>
        <w:ind w:firstLineChars="1700" w:firstLine="5100"/>
        <w:rPr>
          <w:rFonts w:ascii="仿宋_GB2312" w:eastAsia="仿宋_GB2312" w:hAnsi="华文中宋"/>
          <w:sz w:val="30"/>
          <w:szCs w:val="30"/>
        </w:rPr>
      </w:pPr>
      <w:r>
        <w:rPr>
          <w:rFonts w:ascii="仿宋_GB2312" w:eastAsia="仿宋_GB2312" w:hAnsi="华文中宋" w:hint="eastAsia"/>
          <w:sz w:val="30"/>
          <w:szCs w:val="30"/>
        </w:rPr>
        <w:t>2022年1月26日</w:t>
      </w:r>
    </w:p>
    <w:p w:rsidR="00E80036" w:rsidRDefault="00E80036" w:rsidP="00E80036">
      <w:pPr>
        <w:spacing w:line="500" w:lineRule="exact"/>
        <w:ind w:firstLineChars="1700" w:firstLine="5100"/>
        <w:rPr>
          <w:rFonts w:ascii="仿宋_GB2312" w:eastAsia="仿宋_GB2312" w:hAnsi="华文中宋"/>
          <w:sz w:val="30"/>
          <w:szCs w:val="30"/>
        </w:rPr>
      </w:pPr>
    </w:p>
    <w:p w:rsidR="00E80036" w:rsidRDefault="00E80036" w:rsidP="00E80036">
      <w:pPr>
        <w:spacing w:line="500" w:lineRule="exact"/>
        <w:ind w:firstLineChars="1700" w:firstLine="5100"/>
        <w:rPr>
          <w:rFonts w:ascii="仿宋_GB2312" w:eastAsia="仿宋_GB2312" w:hAnsi="华文中宋"/>
          <w:sz w:val="30"/>
          <w:szCs w:val="30"/>
        </w:rPr>
      </w:pPr>
    </w:p>
    <w:bookmarkEnd w:id="0"/>
    <w:p w:rsidR="000962E6" w:rsidRDefault="000962E6" w:rsidP="00E80036">
      <w:pPr>
        <w:spacing w:line="520" w:lineRule="exact"/>
        <w:jc w:val="left"/>
        <w:rPr>
          <w:rFonts w:ascii="黑体" w:eastAsia="黑体" w:hAnsi="华文中宋"/>
          <w:sz w:val="32"/>
          <w:szCs w:val="32"/>
        </w:rPr>
      </w:pPr>
    </w:p>
    <w:p w:rsidR="00E80036" w:rsidRDefault="00E80036" w:rsidP="00E80036">
      <w:pPr>
        <w:spacing w:line="520" w:lineRule="exact"/>
        <w:jc w:val="left"/>
        <w:rPr>
          <w:rFonts w:ascii="黑体" w:eastAsia="黑体" w:hAnsi="华文中宋"/>
          <w:sz w:val="32"/>
          <w:szCs w:val="32"/>
        </w:rPr>
      </w:pPr>
      <w:r>
        <w:rPr>
          <w:rFonts w:ascii="黑体" w:eastAsia="黑体" w:hAnsi="华文中宋" w:hint="eastAsia"/>
          <w:sz w:val="32"/>
          <w:szCs w:val="32"/>
        </w:rPr>
        <w:lastRenderedPageBreak/>
        <w:t>附件</w:t>
      </w:r>
    </w:p>
    <w:p w:rsidR="00E80036" w:rsidRDefault="00E80036" w:rsidP="00E80036">
      <w:pPr>
        <w:spacing w:line="520" w:lineRule="exact"/>
        <w:jc w:val="left"/>
        <w:rPr>
          <w:rFonts w:ascii="黑体" w:eastAsia="黑体" w:hAnsi="华文中宋"/>
          <w:sz w:val="32"/>
          <w:szCs w:val="32"/>
        </w:rPr>
      </w:pPr>
    </w:p>
    <w:p w:rsidR="00E80036" w:rsidRDefault="00E80036" w:rsidP="00E80036">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上海市老年教育发展“十四五”规划</w:t>
      </w:r>
    </w:p>
    <w:p w:rsidR="00E80036" w:rsidRDefault="00E80036" w:rsidP="00E80036">
      <w:pPr>
        <w:spacing w:line="520" w:lineRule="exact"/>
        <w:rPr>
          <w:rFonts w:ascii="仿宋_GB2312" w:eastAsia="仿宋_GB2312" w:hAnsi="仿宋_GB2312" w:cs="仿宋_GB2312"/>
          <w:sz w:val="30"/>
          <w:szCs w:val="30"/>
        </w:rPr>
      </w:pP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为更好地适应上海社会主义现代化国际大都市的城市目标定位和人口老龄化发展趋势，促进“老有所学、老有所为”，依据《国家积极应对人口老龄化中长期规划》《上海教育现代化2035》《上海市教育发展“十四五”规划》和《上海市老龄事业发展“十四五”规划》，制定本规划。</w:t>
      </w:r>
    </w:p>
    <w:p w:rsidR="00E80036" w:rsidRPr="00E80036" w:rsidRDefault="00E80036" w:rsidP="00E80036">
      <w:pPr>
        <w:spacing w:line="540" w:lineRule="exact"/>
        <w:ind w:firstLineChars="200" w:firstLine="600"/>
        <w:rPr>
          <w:rFonts w:ascii="黑体" w:eastAsia="黑体" w:hAnsi="黑体" w:cs="黑体"/>
          <w:sz w:val="30"/>
          <w:szCs w:val="30"/>
        </w:rPr>
      </w:pPr>
      <w:r w:rsidRPr="00E80036">
        <w:rPr>
          <w:rFonts w:ascii="黑体" w:eastAsia="黑体" w:hAnsi="黑体" w:cs="黑体" w:hint="eastAsia"/>
          <w:sz w:val="30"/>
          <w:szCs w:val="30"/>
        </w:rPr>
        <w:t>一、发展回顾与环境形势</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（一）“十三五”发展回顾</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十三五”期间，本市围绕“在学习中养老”的理念，坚持“以人为本、注重内涵、多方协同、合力推进”的思路，加强顶层设计，完善体制机制，夯实内涵质量，激发社会活力，增强科技赋能，实现了老年教育参与人数、老年教育机构总数、老年人学习组织数量、老年教育学习资源等方面翻一番的目标，进一步提升了老年教育服务能力、老年教育发展的社会活力、老年教育学习品质，全面完成老年教育“十三五”规划确定的目标和任务。</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1.创新老年教育运行机制。</w:t>
      </w:r>
      <w:r w:rsidRPr="00E80036">
        <w:rPr>
          <w:rFonts w:ascii="仿宋_GB2312" w:eastAsia="仿宋_GB2312" w:hAnsi="仿宋" w:cs="仿宋" w:hint="eastAsia"/>
          <w:bCs/>
          <w:sz w:val="30"/>
          <w:szCs w:val="30"/>
        </w:rPr>
        <w:t>完善老年教育发展相关制度，出台老年学校内涵建设、老年教育社会学习点建设、</w:t>
      </w:r>
      <w:r w:rsidRPr="00E80036">
        <w:rPr>
          <w:rFonts w:ascii="仿宋_GB2312" w:eastAsia="仿宋_GB2312" w:hAnsi="仿宋" w:cs="仿宋"/>
          <w:bCs/>
          <w:sz w:val="30"/>
          <w:szCs w:val="30"/>
        </w:rPr>
        <w:t>老年学习团队培育等</w:t>
      </w:r>
      <w:r w:rsidRPr="00E80036">
        <w:rPr>
          <w:rFonts w:ascii="仿宋_GB2312" w:eastAsia="仿宋_GB2312" w:hAnsi="仿宋" w:cs="仿宋" w:hint="eastAsia"/>
          <w:bCs/>
          <w:sz w:val="30"/>
          <w:szCs w:val="30"/>
        </w:rPr>
        <w:t>指导标准。发挥上海市老年教育支持服务体系12个中心的功能，形成协同推进老年教育的工作格局。试行老年教育兼职教师注册制，共有5032名兼职教师通过培训取得资格证书。鼓励社会多元主体举办老年大学，社会力量参与老年教育的活力得到激发，深度和广度不断拓展。完善覆盖全市、层次清晰、融合开放、深入基层的“市级老年大学-区级老年大学-街镇老年学校-居村委学习点”四级老年教育网络。完成居村委示范学习点586个、老年教育社会学习点326个、养教结合学习点192个（含老年人日间照料中心等机构学习点93个）、养教结合标准化学习点118个的建设任务。建成一大批老年人身边的学习场所，让老百姓在家门口享受到教育服务，学习环境得到进一步改善。</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2.推动老年教育内涵发展。</w:t>
      </w:r>
      <w:r w:rsidRPr="00E80036">
        <w:rPr>
          <w:rFonts w:ascii="仿宋_GB2312" w:eastAsia="仿宋_GB2312" w:hAnsi="仿宋" w:cs="仿宋" w:hint="eastAsia"/>
          <w:bCs/>
          <w:sz w:val="30"/>
          <w:szCs w:val="30"/>
        </w:rPr>
        <w:t>开展市、区级老年大学、街镇老年学校内涵建设，老年教育机构的办学能力得到进一步提升。办学理念更为清晰，课程体系更加完善，课程内容更具特色，学习资源更加多元，形成了以“四位一体、三通直学”为特点的老年教育系列教材。融合网上学习、移动学习、团队学习、体验学习等多种学习形式，学习团队建设成效彰显，培育星级团队10647个。形成了“中银常青树”“我心目中最美老年学员”等一批学习品牌。</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3.构建老年数字化学习管理模式。</w:t>
      </w:r>
      <w:r w:rsidRPr="00E80036">
        <w:rPr>
          <w:rFonts w:ascii="仿宋_GB2312" w:eastAsia="仿宋_GB2312" w:hAnsi="仿宋" w:cs="仿宋" w:hint="eastAsia"/>
          <w:bCs/>
          <w:sz w:val="30"/>
          <w:szCs w:val="30"/>
        </w:rPr>
        <w:t>发挥老年人学习网、指尖上的老年教育、老年教育慕课等多个线上学习渠道作用，构建了“线上线下、互联互通”的老年教育资源配送体系。完善老年教育信息化管理平台，完成大数据挖掘及可视化服务移动版的升级，实现平台及数据向“政务云”的迁移，启动与市大数据中心、“一网通办”的业务对接。疫情期间，开通了上海市民终身学习云“空中课堂”，精心打造老年教育“直播大课表”，探索网上体验基地、VR线上人文行走等新模式，完成老年教育精品课程等学习资源的数字化转化，满足老年人足不出户、居家学习的新需求。</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4.深化国内外交流互动。</w:t>
      </w:r>
      <w:r w:rsidRPr="00E80036">
        <w:rPr>
          <w:rFonts w:ascii="仿宋_GB2312" w:eastAsia="仿宋_GB2312" w:hAnsi="仿宋" w:cs="仿宋" w:hint="eastAsia"/>
          <w:bCs/>
          <w:sz w:val="30"/>
          <w:szCs w:val="30"/>
        </w:rPr>
        <w:t>开展长三角地区老年教育区域合作，推动老年学习资源共建共享，促进三省一市老年教育协同发展。发布《长三角地区社区教育、老年教育协同发展三年行动计划》，牵头开展长三角老年教育教材编写工作。委托上海老年教育研究院，定期举办“老年教育国际论坛”，开展国际老年教育研究与交流。</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同时，上海老年教育发展也存在一些亟待解决的问题：老年教育资源供给与老年人日益增长的学习需求之间还有差距；城乡、区域间老年教育发展尚不均衡；社会力量参与的深度和广度有待进一步拓展；高水平、专业化老年教育师资队伍建设仍需优化；老年教育质量保障体系有待完善；数字化转型对老年教育的支撑能力有待加强等，这些都对本市老年教育高质量发展提出了新的要求和挑战。</w:t>
      </w:r>
    </w:p>
    <w:p w:rsidR="00E80036" w:rsidRPr="00E80036" w:rsidRDefault="00E80036" w:rsidP="00E80036">
      <w:pPr>
        <w:spacing w:line="540" w:lineRule="exact"/>
        <w:ind w:firstLineChars="200" w:firstLine="600"/>
        <w:rPr>
          <w:rFonts w:ascii="楷体_GB2312" w:eastAsia="楷体_GB2312" w:hAnsi="Calibri"/>
          <w:b/>
          <w:sz w:val="30"/>
          <w:szCs w:val="30"/>
        </w:rPr>
      </w:pPr>
      <w:r w:rsidRPr="00E80036">
        <w:rPr>
          <w:rFonts w:ascii="楷体_GB2312" w:eastAsia="楷体_GB2312" w:hAnsi="Calibri" w:hint="eastAsia"/>
          <w:sz w:val="30"/>
          <w:szCs w:val="30"/>
        </w:rPr>
        <w:t>（二）“十四五”面临的形势与挑战</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1.上海人口深度老龄化趋于新常态。</w:t>
      </w:r>
      <w:r w:rsidRPr="00E80036">
        <w:rPr>
          <w:rFonts w:ascii="仿宋_GB2312" w:eastAsia="仿宋_GB2312" w:hAnsi="仿宋" w:cs="仿宋" w:hint="eastAsia"/>
          <w:bCs/>
          <w:sz w:val="30"/>
          <w:szCs w:val="30"/>
        </w:rPr>
        <w:t>上海是我国最早进入人口老龄化社会且老龄化程度最高的城市，老年人口规模持续扩大。2020年全市常住人口中，60岁及以上老年人口数量为581.55万，占比23.4%；全市户籍人口中，60岁及以上老年人口数量为533.49万，占比36.1%。预计“十四五”末全市60岁及以上常住和户籍老年人口将分别超过680万和570万。2020年上海户籍人口人均期望寿命达83.67岁，为全国最高。本市人口深度老龄化趋于新常态，老年人精神文化需求快速增长升级，对全市老年教育资源供给能力提出重大挑战。</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2.国内外形势发展凸显新要求。</w:t>
      </w:r>
      <w:r w:rsidRPr="00E80036">
        <w:rPr>
          <w:rFonts w:ascii="仿宋_GB2312" w:eastAsia="仿宋_GB2312" w:hAnsi="仿宋" w:cs="仿宋" w:hint="eastAsia"/>
          <w:bCs/>
          <w:sz w:val="30"/>
          <w:szCs w:val="30"/>
        </w:rPr>
        <w:t>习近平总书记对老龄工作作出重要指示，强调贯彻落实积极应对人口老龄化国家战略，让老年人共享改革发展成果、安享幸福晚年。《国家积极应对人口老龄化中长期规划》明确提出“创新发展老年教育”。《中国教育现代化2035》提出“加快发展城乡社区老年教育”的新要求。联合国教科文组织发布《教育2030行动框架》，以“确保包容和公平的优质教育，让全民终身享有学习机会”为目标，推进迈向全纳、公平、有质量的教育和全民终身学习。国内外新形势、新变化将持续推动本市老年教育向前发展，也对“十四五”期间老年教育高质量发展提出了新的更高要求。</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3.数字时代老年教育面临新转变。</w:t>
      </w:r>
      <w:r w:rsidRPr="00E80036">
        <w:rPr>
          <w:rFonts w:ascii="仿宋_GB2312" w:eastAsia="仿宋_GB2312" w:hAnsi="仿宋" w:cs="仿宋" w:hint="eastAsia"/>
          <w:bCs/>
          <w:sz w:val="30"/>
          <w:szCs w:val="30"/>
        </w:rPr>
        <w:t>当前科技进步日新月异，5G、人工智能、移动互联网、大数据、物联网等信息技术快速发展，深刻改变人们的思维、生活和学习方式。在我国“网络强国、数字中国、智慧社会”的整体战略部署下，国务院办公厅印发《关于切实解决老年人运用智能技术困难的实施方案》，推动解决老年人面临的“数字鸿沟”问题；本市出台《关于全面推进上海城市数字化转型的意见》，提出以数字化推动教育等基本民生保障更均衡、更精准、更充分，这必将推动上海老年教育在供给结构、服务方式和学习模式等方面实现新的变革，给老年教育带来重大发展机遇和巨大挑战。</w:t>
      </w:r>
    </w:p>
    <w:p w:rsidR="00E80036" w:rsidRPr="00E80036" w:rsidRDefault="00E80036" w:rsidP="00E80036">
      <w:pPr>
        <w:spacing w:line="540" w:lineRule="exact"/>
        <w:ind w:firstLineChars="200" w:firstLine="602"/>
        <w:rPr>
          <w:rFonts w:ascii="仿宋_GB2312" w:eastAsia="仿宋_GB2312" w:hAnsi="仿宋" w:cs="仿宋"/>
          <w:bCs/>
          <w:sz w:val="30"/>
          <w:szCs w:val="30"/>
        </w:rPr>
      </w:pPr>
      <w:r w:rsidRPr="00E80036">
        <w:rPr>
          <w:rFonts w:ascii="仿宋_GB2312" w:eastAsia="仿宋_GB2312" w:hAnsi="仿宋" w:cs="仿宋" w:hint="eastAsia"/>
          <w:b/>
          <w:sz w:val="30"/>
          <w:szCs w:val="30"/>
        </w:rPr>
        <w:t>4.高品质老年教育成为社会新期盼。</w:t>
      </w:r>
      <w:r w:rsidRPr="00E80036">
        <w:rPr>
          <w:rFonts w:ascii="仿宋_GB2312" w:eastAsia="仿宋_GB2312" w:hAnsi="仿宋" w:cs="仿宋" w:hint="eastAsia"/>
          <w:bCs/>
          <w:sz w:val="30"/>
          <w:szCs w:val="30"/>
        </w:rPr>
        <w:t>“十四五”期间，随着60后步入退休阶段，本市老年人整体学历层次、经济水平将会有较大提升，迫切希望通过学习提高生活质量、提升生活品质，在学习中获得快乐。老年人主动顺应新时代、新趋势、新机遇的意愿强烈，要求本市老年教育必须进一步完善体制机制建设，激发社会活力，提升学习品质，以普惠多元、优质公平、泛在可选回应现代老年人的学习新诉求。</w:t>
      </w:r>
    </w:p>
    <w:p w:rsidR="00E80036" w:rsidRPr="00E80036" w:rsidRDefault="00E80036" w:rsidP="00E80036">
      <w:pPr>
        <w:spacing w:line="540" w:lineRule="exact"/>
        <w:ind w:firstLineChars="200" w:firstLine="600"/>
        <w:rPr>
          <w:rFonts w:ascii="黑体" w:eastAsia="黑体" w:hAnsi="黑体" w:cs="黑体"/>
          <w:sz w:val="30"/>
          <w:szCs w:val="30"/>
        </w:rPr>
      </w:pPr>
      <w:r w:rsidRPr="00E80036">
        <w:rPr>
          <w:rFonts w:ascii="黑体" w:eastAsia="黑体" w:hAnsi="黑体" w:cs="黑体" w:hint="eastAsia"/>
          <w:sz w:val="30"/>
          <w:szCs w:val="30"/>
        </w:rPr>
        <w:t>二、总体要求和工作目标</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（一）指导思想</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以习近平新时代中国特色社会主义思想为指导，深入贯彻党的十九大和十九届二中、三中、四中、五中、六中全会精神，全面落实习近平总书记关于教育的重要论述和加强老龄工作的重要讲话精神，深入践行“人民城市人民建，人民城市为人民”重要理念，针对超大城市人口深度老龄化的趋势和特点，全面提升老年教育服务能力，彰显新时代高品质的老年教育水平，进一步提升老年人学习的获得感和幸福感，形成具有上海特色的老年教育发展新模式。</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（二）基本思路</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以老年人高品质学习需求为导向，以健康科普为要求，以数字化为支撑，构建泛在可选的老年学习环境；创新老年教育体制机制，营造多元社会主体共同参与老年教育的良好氛围；进一步完善老年教育支持服务体系，提升老年教育服务能级，扩大老年教育覆盖面；倡导老年人乐学助学新风尚，推动老年人持续参与学习型社会建设。</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（三）发展目标</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到2025年，建成“政府主导、多元参与、优质均衡、泛在可选”的具有上海特色、充满活力的现代老年教育体系，参与各类老年教育的人数超过全市老年人口总数的40%。</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w:t>
      </w:r>
      <w:r w:rsidRPr="00E80036">
        <w:rPr>
          <w:rFonts w:ascii="仿宋_GB2312" w:eastAsia="仿宋_GB2312" w:hAnsi="仿宋" w:cs="仿宋" w:hint="eastAsia"/>
          <w:b/>
          <w:sz w:val="30"/>
          <w:szCs w:val="30"/>
        </w:rPr>
        <w:t>全方位的管理机制</w:t>
      </w:r>
      <w:r w:rsidRPr="00E80036">
        <w:rPr>
          <w:rFonts w:ascii="仿宋_GB2312" w:eastAsia="仿宋_GB2312" w:hAnsi="仿宋" w:cs="仿宋" w:hint="eastAsia"/>
          <w:bCs/>
          <w:sz w:val="30"/>
          <w:szCs w:val="30"/>
        </w:rPr>
        <w:t>。进一步发挥市、区、街镇、居村委学习点四级网络作用，形成定位清晰、职责明确的老年教育管理体制和运行机制。</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w:t>
      </w:r>
      <w:r w:rsidRPr="00E80036">
        <w:rPr>
          <w:rFonts w:ascii="仿宋_GB2312" w:eastAsia="仿宋_GB2312" w:hAnsi="仿宋" w:cs="仿宋" w:hint="eastAsia"/>
          <w:b/>
          <w:sz w:val="30"/>
          <w:szCs w:val="30"/>
        </w:rPr>
        <w:t>多元化的办学主体</w:t>
      </w:r>
      <w:r w:rsidRPr="00E80036">
        <w:rPr>
          <w:rFonts w:ascii="仿宋_GB2312" w:eastAsia="仿宋_GB2312" w:hAnsi="仿宋" w:cs="仿宋" w:hint="eastAsia"/>
          <w:bCs/>
          <w:sz w:val="30"/>
          <w:szCs w:val="30"/>
        </w:rPr>
        <w:t>。实施老年大学倍增计划。鼓励高校、各区、行业企业等各类主体举办或参与老年教育。“十四五”期间，新增10所各类社会力量举办的老年大学。</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w:t>
      </w:r>
      <w:r w:rsidRPr="00E80036">
        <w:rPr>
          <w:rFonts w:ascii="仿宋_GB2312" w:eastAsia="仿宋_GB2312" w:hAnsi="仿宋" w:cs="仿宋" w:hint="eastAsia"/>
          <w:b/>
          <w:sz w:val="30"/>
          <w:szCs w:val="30"/>
        </w:rPr>
        <w:t>高水平的数字驱动</w:t>
      </w:r>
      <w:r w:rsidRPr="00E80036">
        <w:rPr>
          <w:rFonts w:ascii="仿宋_GB2312" w:eastAsia="仿宋_GB2312" w:hAnsi="仿宋" w:cs="仿宋" w:hint="eastAsia"/>
          <w:bCs/>
          <w:sz w:val="30"/>
          <w:szCs w:val="30"/>
        </w:rPr>
        <w:t xml:space="preserve">。实施“双百双千”计划。建设100个老年智慧学习场景，创建100个老年智慧学习品牌，开展1000名助老智慧学习骨干教师培训，培育1000个智慧学习助学团队。 </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w:t>
      </w:r>
      <w:r w:rsidRPr="00E80036">
        <w:rPr>
          <w:rFonts w:ascii="仿宋_GB2312" w:eastAsia="仿宋_GB2312" w:hAnsi="仿宋" w:cs="仿宋" w:hint="eastAsia"/>
          <w:b/>
          <w:sz w:val="30"/>
          <w:szCs w:val="30"/>
        </w:rPr>
        <w:t>广覆盖的资源供给</w:t>
      </w:r>
      <w:r w:rsidRPr="00E80036">
        <w:rPr>
          <w:rFonts w:ascii="仿宋_GB2312" w:eastAsia="仿宋_GB2312" w:hAnsi="仿宋" w:cs="仿宋" w:hint="eastAsia"/>
          <w:bCs/>
          <w:sz w:val="30"/>
          <w:szCs w:val="30"/>
        </w:rPr>
        <w:t>。打造开放灵活的线上线下学习资源。优化资源配置，覆盖全市各级各类老年教育机构和学习场所，精准对接“15分钟社区学习圈”，服务更多的城乡老年群体。</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w:t>
      </w:r>
      <w:r w:rsidRPr="00E80036">
        <w:rPr>
          <w:rFonts w:ascii="仿宋_GB2312" w:eastAsia="仿宋_GB2312" w:hAnsi="仿宋" w:cs="仿宋" w:hint="eastAsia"/>
          <w:b/>
          <w:sz w:val="30"/>
          <w:szCs w:val="30"/>
        </w:rPr>
        <w:t>跨领域的学习组织</w:t>
      </w:r>
      <w:r w:rsidRPr="00E80036">
        <w:rPr>
          <w:rFonts w:ascii="仿宋_GB2312" w:eastAsia="仿宋_GB2312" w:hAnsi="仿宋" w:cs="仿宋" w:hint="eastAsia"/>
          <w:bCs/>
          <w:sz w:val="30"/>
          <w:szCs w:val="30"/>
        </w:rPr>
        <w:t>。加强线上新型学习组织建设，培育线下特色学习团队，建成一批引导有力、规范有序、内涵丰富、形态多样的学习组织，新增老年学习团队10000个。</w:t>
      </w:r>
    </w:p>
    <w:p w:rsidR="00E80036" w:rsidRPr="00E80036" w:rsidRDefault="00E80036" w:rsidP="00E80036">
      <w:pPr>
        <w:spacing w:line="540" w:lineRule="exact"/>
        <w:jc w:val="center"/>
        <w:rPr>
          <w:rFonts w:ascii="楷体_GB2312" w:eastAsia="楷体_GB2312" w:hAnsi="Calibri"/>
          <w:b/>
          <w:sz w:val="30"/>
          <w:szCs w:val="30"/>
        </w:rPr>
      </w:pPr>
      <w:r w:rsidRPr="00E80036">
        <w:rPr>
          <w:rFonts w:ascii="楷体_GB2312" w:eastAsia="楷体_GB2312" w:hAnsi="Calibri" w:hint="eastAsia"/>
          <w:b/>
          <w:sz w:val="30"/>
          <w:szCs w:val="30"/>
        </w:rPr>
        <w:t>老年教育事业发展主要指标</w:t>
      </w:r>
    </w:p>
    <w:tbl>
      <w:tblPr>
        <w:tblW w:w="0" w:type="auto"/>
        <w:jc w:val="center"/>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01"/>
        <w:gridCol w:w="4766"/>
        <w:gridCol w:w="1034"/>
        <w:gridCol w:w="1994"/>
      </w:tblGrid>
      <w:tr w:rsidR="00E80036" w:rsidRPr="00E80036" w:rsidTr="008A0003">
        <w:trPr>
          <w:trHeight w:val="860"/>
          <w:jc w:val="center"/>
        </w:trPr>
        <w:tc>
          <w:tcPr>
            <w:tcW w:w="801" w:type="dxa"/>
            <w:vAlign w:val="center"/>
          </w:tcPr>
          <w:p w:rsidR="00E80036" w:rsidRPr="00E80036" w:rsidRDefault="00E80036" w:rsidP="00E80036">
            <w:pPr>
              <w:spacing w:line="540" w:lineRule="exact"/>
              <w:jc w:val="center"/>
              <w:rPr>
                <w:rFonts w:ascii="仿宋" w:eastAsia="仿宋" w:hAnsi="仿宋" w:cs="仿宋"/>
                <w:b/>
                <w:bCs/>
                <w:color w:val="000000"/>
                <w:kern w:val="0"/>
                <w:sz w:val="30"/>
                <w:szCs w:val="30"/>
              </w:rPr>
            </w:pPr>
            <w:r w:rsidRPr="00E80036">
              <w:rPr>
                <w:rFonts w:ascii="仿宋" w:eastAsia="仿宋" w:hAnsi="仿宋" w:cs="仿宋" w:hint="eastAsia"/>
                <w:b/>
                <w:bCs/>
                <w:color w:val="000000"/>
                <w:kern w:val="0"/>
                <w:sz w:val="30"/>
                <w:szCs w:val="30"/>
              </w:rPr>
              <w:t>序号</w:t>
            </w:r>
          </w:p>
        </w:tc>
        <w:tc>
          <w:tcPr>
            <w:tcW w:w="4766" w:type="dxa"/>
            <w:vAlign w:val="center"/>
          </w:tcPr>
          <w:p w:rsidR="00E80036" w:rsidRPr="00E80036" w:rsidRDefault="00E80036" w:rsidP="00E80036">
            <w:pPr>
              <w:spacing w:line="540" w:lineRule="exact"/>
              <w:jc w:val="center"/>
              <w:rPr>
                <w:rFonts w:ascii="仿宋" w:eastAsia="仿宋" w:hAnsi="仿宋" w:cs="仿宋"/>
                <w:b/>
                <w:bCs/>
                <w:color w:val="000000"/>
                <w:kern w:val="0"/>
                <w:sz w:val="30"/>
                <w:szCs w:val="30"/>
              </w:rPr>
            </w:pPr>
            <w:r w:rsidRPr="00E80036">
              <w:rPr>
                <w:rFonts w:ascii="仿宋" w:eastAsia="仿宋" w:hAnsi="仿宋" w:cs="仿宋" w:hint="eastAsia"/>
                <w:b/>
                <w:bCs/>
                <w:color w:val="000000"/>
                <w:kern w:val="0"/>
                <w:sz w:val="30"/>
                <w:szCs w:val="30"/>
              </w:rPr>
              <w:t>主要指标</w:t>
            </w:r>
          </w:p>
        </w:tc>
        <w:tc>
          <w:tcPr>
            <w:tcW w:w="1034" w:type="dxa"/>
            <w:vAlign w:val="center"/>
          </w:tcPr>
          <w:p w:rsidR="00E80036" w:rsidRPr="00E80036" w:rsidRDefault="00E80036" w:rsidP="00E80036">
            <w:pPr>
              <w:spacing w:line="540" w:lineRule="exact"/>
              <w:jc w:val="center"/>
              <w:rPr>
                <w:rFonts w:ascii="仿宋" w:eastAsia="仿宋" w:hAnsi="仿宋" w:cs="仿宋"/>
                <w:b/>
                <w:bCs/>
                <w:color w:val="000000"/>
                <w:kern w:val="0"/>
                <w:sz w:val="30"/>
                <w:szCs w:val="30"/>
              </w:rPr>
            </w:pPr>
            <w:r w:rsidRPr="00E80036">
              <w:rPr>
                <w:rFonts w:ascii="仿宋" w:eastAsia="仿宋" w:hAnsi="仿宋" w:cs="仿宋" w:hint="eastAsia"/>
                <w:b/>
                <w:bCs/>
                <w:color w:val="000000"/>
                <w:kern w:val="0"/>
                <w:sz w:val="30"/>
                <w:szCs w:val="30"/>
              </w:rPr>
              <w:t>单位</w:t>
            </w:r>
          </w:p>
        </w:tc>
        <w:tc>
          <w:tcPr>
            <w:tcW w:w="1994" w:type="dxa"/>
            <w:vAlign w:val="center"/>
          </w:tcPr>
          <w:p w:rsidR="00E80036" w:rsidRPr="00E80036" w:rsidRDefault="00E80036" w:rsidP="00E80036">
            <w:pPr>
              <w:spacing w:line="540" w:lineRule="exact"/>
              <w:jc w:val="center"/>
              <w:rPr>
                <w:rFonts w:ascii="仿宋" w:eastAsia="仿宋" w:hAnsi="仿宋" w:cs="仿宋"/>
                <w:b/>
                <w:bCs/>
                <w:color w:val="000000"/>
                <w:kern w:val="0"/>
                <w:sz w:val="30"/>
                <w:szCs w:val="30"/>
              </w:rPr>
            </w:pPr>
            <w:r w:rsidRPr="00E80036">
              <w:rPr>
                <w:rFonts w:ascii="仿宋" w:eastAsia="仿宋" w:hAnsi="仿宋" w:cs="仿宋" w:hint="eastAsia"/>
                <w:b/>
                <w:bCs/>
                <w:color w:val="000000"/>
                <w:kern w:val="0"/>
                <w:sz w:val="30"/>
                <w:szCs w:val="30"/>
              </w:rPr>
              <w:t>增长值（到2025年）</w:t>
            </w:r>
          </w:p>
        </w:tc>
      </w:tr>
      <w:tr w:rsidR="00E80036" w:rsidRPr="00E80036" w:rsidTr="008A0003">
        <w:trPr>
          <w:trHeight w:val="675"/>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参与各类老年教育人数占全市老年人口比例</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&gt;40</w:t>
            </w:r>
          </w:p>
        </w:tc>
      </w:tr>
      <w:tr w:rsidR="00E80036" w:rsidRPr="00E80036" w:rsidTr="008A0003">
        <w:trPr>
          <w:trHeight w:val="600"/>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2</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建设老年智慧学习场景</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个</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100</w:t>
            </w:r>
          </w:p>
        </w:tc>
      </w:tr>
      <w:tr w:rsidR="00E80036" w:rsidRPr="00E80036" w:rsidTr="008A0003">
        <w:trPr>
          <w:trHeight w:val="585"/>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3</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培育老年智慧学习品牌</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个</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100</w:t>
            </w:r>
          </w:p>
        </w:tc>
      </w:tr>
      <w:tr w:rsidR="00E80036" w:rsidRPr="00E80036" w:rsidTr="008A0003">
        <w:trPr>
          <w:trHeight w:val="715"/>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4</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培训助老智慧学习骨干教师</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名</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1000</w:t>
            </w:r>
          </w:p>
        </w:tc>
      </w:tr>
      <w:tr w:rsidR="00E80036" w:rsidRPr="00E80036" w:rsidTr="008A0003">
        <w:trPr>
          <w:trHeight w:val="600"/>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5</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培育智慧学习助学团队</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个</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1000</w:t>
            </w:r>
          </w:p>
        </w:tc>
      </w:tr>
      <w:tr w:rsidR="00E80036" w:rsidRPr="00E80036" w:rsidTr="008A0003">
        <w:trPr>
          <w:trHeight w:val="715"/>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6</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新增社会力量举办老年大学</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所</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10</w:t>
            </w:r>
          </w:p>
        </w:tc>
      </w:tr>
      <w:tr w:rsidR="00E80036" w:rsidRPr="00E80036" w:rsidTr="008A0003">
        <w:trPr>
          <w:trHeight w:val="576"/>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7</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新增老年教育社会学习点</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个</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200</w:t>
            </w:r>
          </w:p>
        </w:tc>
      </w:tr>
      <w:tr w:rsidR="00E80036" w:rsidRPr="00E80036" w:rsidTr="008A0003">
        <w:trPr>
          <w:trHeight w:val="576"/>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8</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新增养教结合学习点</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个</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50</w:t>
            </w:r>
          </w:p>
        </w:tc>
      </w:tr>
      <w:tr w:rsidR="00E80036" w:rsidRPr="00E80036" w:rsidTr="008A0003">
        <w:trPr>
          <w:trHeight w:val="576"/>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9</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培育居村委特色学习点</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个</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200</w:t>
            </w:r>
          </w:p>
        </w:tc>
      </w:tr>
      <w:tr w:rsidR="00E80036" w:rsidRPr="00E80036" w:rsidTr="008A0003">
        <w:trPr>
          <w:trHeight w:val="576"/>
          <w:jc w:val="center"/>
        </w:trPr>
        <w:tc>
          <w:tcPr>
            <w:tcW w:w="801"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10</w:t>
            </w:r>
          </w:p>
        </w:tc>
        <w:tc>
          <w:tcPr>
            <w:tcW w:w="4766"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color w:val="000000"/>
                <w:kern w:val="0"/>
                <w:sz w:val="30"/>
                <w:szCs w:val="30"/>
              </w:rPr>
              <w:t>培育老年教育特色课程</w:t>
            </w:r>
          </w:p>
        </w:tc>
        <w:tc>
          <w:tcPr>
            <w:tcW w:w="103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sz w:val="30"/>
                <w:szCs w:val="30"/>
              </w:rPr>
              <w:t>门</w:t>
            </w:r>
          </w:p>
        </w:tc>
        <w:tc>
          <w:tcPr>
            <w:tcW w:w="1994" w:type="dxa"/>
            <w:vAlign w:val="center"/>
          </w:tcPr>
          <w:p w:rsidR="00E80036" w:rsidRPr="00E80036" w:rsidRDefault="00E80036" w:rsidP="00E80036">
            <w:pPr>
              <w:spacing w:line="540" w:lineRule="exact"/>
              <w:jc w:val="center"/>
              <w:rPr>
                <w:rFonts w:ascii="仿宋_GB2312" w:eastAsia="仿宋_GB2312" w:hAnsi="仿宋_GB2312" w:cs="仿宋_GB2312"/>
                <w:bCs/>
                <w:color w:val="000000"/>
                <w:kern w:val="0"/>
                <w:sz w:val="30"/>
                <w:szCs w:val="30"/>
              </w:rPr>
            </w:pPr>
            <w:r w:rsidRPr="00E80036">
              <w:rPr>
                <w:rFonts w:ascii="仿宋_GB2312" w:eastAsia="仿宋_GB2312" w:hAnsi="仿宋_GB2312" w:cs="仿宋_GB2312" w:hint="eastAsia"/>
                <w:bCs/>
                <w:sz w:val="30"/>
                <w:szCs w:val="30"/>
              </w:rPr>
              <w:t>100</w:t>
            </w:r>
          </w:p>
        </w:tc>
      </w:tr>
    </w:tbl>
    <w:p w:rsidR="00E80036" w:rsidRPr="00E80036" w:rsidRDefault="00E80036" w:rsidP="00E80036">
      <w:pPr>
        <w:spacing w:line="540" w:lineRule="exact"/>
        <w:ind w:firstLineChars="200" w:firstLine="600"/>
        <w:rPr>
          <w:rFonts w:ascii="黑体" w:eastAsia="黑体" w:hAnsi="黑体" w:cs="黑体"/>
          <w:sz w:val="30"/>
          <w:szCs w:val="30"/>
        </w:rPr>
      </w:pPr>
      <w:r w:rsidRPr="00E80036">
        <w:rPr>
          <w:rFonts w:ascii="黑体" w:eastAsia="黑体" w:hAnsi="黑体" w:cs="黑体" w:hint="eastAsia"/>
          <w:sz w:val="30"/>
          <w:szCs w:val="30"/>
        </w:rPr>
        <w:t>三、主要任务</w:t>
      </w:r>
    </w:p>
    <w:p w:rsidR="00E80036" w:rsidRPr="00E80036" w:rsidRDefault="00E80036" w:rsidP="00E80036">
      <w:pPr>
        <w:spacing w:line="540" w:lineRule="exact"/>
        <w:ind w:firstLineChars="200" w:firstLine="600"/>
        <w:rPr>
          <w:rFonts w:ascii="楷体_GB2312" w:eastAsia="楷体_GB2312" w:hAnsi="Calibri"/>
          <w:b/>
          <w:sz w:val="30"/>
          <w:szCs w:val="30"/>
        </w:rPr>
      </w:pPr>
      <w:r w:rsidRPr="00E80036">
        <w:rPr>
          <w:rFonts w:ascii="楷体_GB2312" w:eastAsia="楷体_GB2312" w:hAnsi="Calibri" w:hint="eastAsia"/>
          <w:sz w:val="30"/>
          <w:szCs w:val="30"/>
        </w:rPr>
        <w:t>（一）推进老年教育治理体系现代化</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探索老年教育治理的新思路、新路径、新举措。完善老年教育市级统筹机制、政府购买服务机制、社会资源整合机制等，提升老年教育办学的制度化水平。进一步促进老年教育与社区治理的紧密结合。积极拓展老年教育办学主体，激发多元社会主体参与老年教育的积极性，形成具有上海特色的老年教育协同推进模式，为不同老年群体提供多样化的教育服务，推动老年教育高质量发展。</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（二）推动老年教育布局结构均衡化</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实现优质资源合理配置。进一步完善市、区、街镇、居村委等老年教育工作网络建设，夯实市、区老年大学、街镇老年学校、居村委学习点实体办学基础；加强市、区两级老年教育机构的合作，实现全市老年教育优质资源的共享；集聚各方办学优势，加大区域老年教育共同体建设。扩大社区老年教育资源供给，重点支持远郊地区和农村老年教育的发展。着力推进长三角地区老年教育协同发展，逐步实现长三角老年教育资源的共建共享。</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（三）促进老年教育内涵建设特色化</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推进老年教育特色品牌建设。建立老年教育教学、管理、研究人员分层分类培训制度，着力推进专职教师、兼职教师、助学志愿者队伍建设。完善老年教育课程体系，建设顺应时代发展、符合老年人特点的学习资源。开展老年教育研究，推进老年教育科研及成果应用。鼓励有条件的高校加强老年教育学科建设，开展专业人才培养。加强国际交流与合作，打造上海老年教育的国际名片。</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（四）实现老年教育服务管理智能化</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开创老年数字教育新生态。加大老年教育数字化学习的支撑力度，统筹推进智能化设施设备和应用场景设计，建设一批集成智慧学习场景和适配多元学习方式的新型老年大学（学校），加强数字产品研发和学习应用，推进老年教育数字化进程。发挥上海市老年教育信息化管理平台的作用，对接市大数据中心，探索个人身份数据、教育用户数据和其他应用场景的数据归集、共享与使用，加快实现全市老年教育“一网通办”。</w:t>
      </w:r>
    </w:p>
    <w:p w:rsidR="00E80036" w:rsidRPr="00E80036" w:rsidRDefault="00E80036" w:rsidP="00E80036">
      <w:pPr>
        <w:spacing w:line="540" w:lineRule="exact"/>
        <w:ind w:firstLineChars="200" w:firstLine="600"/>
        <w:rPr>
          <w:rFonts w:ascii="黑体" w:eastAsia="黑体" w:hAnsi="黑体" w:cs="黑体"/>
          <w:sz w:val="30"/>
          <w:szCs w:val="30"/>
        </w:rPr>
      </w:pPr>
      <w:r w:rsidRPr="00E80036">
        <w:rPr>
          <w:rFonts w:ascii="黑体" w:eastAsia="黑体" w:hAnsi="黑体" w:cs="黑体" w:hint="eastAsia"/>
          <w:sz w:val="30"/>
          <w:szCs w:val="30"/>
        </w:rPr>
        <w:t>四、推进计划</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（一）老年教育扩大供给行动计划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实施老年大学“倍增计划”。研制本市老年大学建设指导标准、社会多元主体举办老年大学指导标准，打造老年人家门口的学校。鼓励社会力量举办老年大学（网上老年大学），支持高校、各区、行业企业、社会组织通过各种形式举办或参与老年教育。新增200个老年教育社会学习点，培育100个优秀老年教育社会学习点，新增50个老年教育养教结合学习点、50个老年教育养教结合优秀学习点，培育200个老年教育居村委特色学习点。大力培育各类公益性服务老年教育的社会组织，为老年人学习提供支持。</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（二）老年教育智慧学习创新计划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大力推进信息技术赋能老年教育。充分利用现代信息技术，缓解“一座难求”矛盾。在全国率先开通老年人学习的专属电视频道“金色学堂”，进一步丰富老年教育载体。鼓励有条件的老年教育机构、高校、行业企业开设网上老年大学、空中老年大学。加大各类老年教育学习平台整合关联力度，充分发挥“老年人学习网”“老年教育慕课”“直播课堂”等多渠道学习作用，组织引导老年人参与学习。通过加大投入、建设老年教育智慧学习场景、开发数字学习课程、打造数字学习资源、持续开展长者智能技术运用能力提升培训，助力老年人主动跨越“数字鸿沟”。</w:t>
      </w:r>
    </w:p>
    <w:p w:rsidR="00E80036" w:rsidRPr="00E80036" w:rsidRDefault="00E80036" w:rsidP="00E80036">
      <w:pPr>
        <w:spacing w:line="540" w:lineRule="exact"/>
        <w:ind w:firstLineChars="200" w:firstLine="600"/>
        <w:rPr>
          <w:rFonts w:ascii="楷体_GB2312" w:eastAsia="楷体_GB2312" w:hAnsi="Calibri"/>
          <w:b/>
          <w:sz w:val="30"/>
          <w:szCs w:val="30"/>
        </w:rPr>
      </w:pPr>
      <w:r w:rsidRPr="00E80036">
        <w:rPr>
          <w:rFonts w:ascii="楷体_GB2312" w:eastAsia="楷体_GB2312" w:hAnsi="Calibri" w:hint="eastAsia"/>
          <w:sz w:val="30"/>
          <w:szCs w:val="30"/>
        </w:rPr>
        <w:t>（三）老年教育优质均衡发展计划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推动老年教育资源与各类教育资源的共建共享，形成纵向联动、横向协作的发展格局。鼓励各区组建区域内老年教育机构学习共同体，实现师资互通、课程共建、资源共享，促进老年教育优质发展。鼓励各级各类老年教育机构在资源配置、师资输送、社会资助等方面对农村地区老年教育给予支持，促进老年教育城乡一体化均衡发展。</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（四）老年教育学习品牌培育计划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加大老年教育学习品牌培育力度。根据老年群体对高质量老年教育的需求，培育一批特色老年大学、老年学校优质校，制定老年教育品牌项目培育指引，支持老年教育机构开发适切的老年教育课程，培育100门特色课程。鼓励老年人组团自主学习，支持学有所成的老年人为更多老年人提供助学服务，培育500个五星级老年学习团队。鼓励老年教育机构为老年人提供精准优质服务，培育100个老年教育服务品牌。</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（五）老年教育理论研究提升计划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加强老年教育的理论研究。做实做强上海老年教育研究院，打造高水平老年教育研究平台，加强新时代老年教育重大问题的研究，增强科研服务老年教育发展、引领老年教育质量提升的功能。加强老年教育课程、教材、教学、评价研究，促进上海老年教育质量提升。加强基层和郊区农村社区老年教育、师资队伍建设、新型学习组织建设、品牌培育等方面的研究与探索，推动上海老年教育创新发展。</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（六）老年教育师资队伍培养计划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 xml:space="preserve">加强老年教育专兼职教师的专业化发展，逐步提高专职教师比例。开展老年教育名师培育工程，建立孵化机制，形成一批师资骨干队伍。建立专职教师全员培训、兼职教师全员注册培训、助学志愿者专题培训于一体的市、区两级培训体系，实施分层分类培训。根据老年教育线上线下融合的新常态，重点开展专兼职教师的信息素养和信息技能培训，提升教师适应未来学习形态的能力。建立市、区两级老年教育师资库，推进师资信息共享和互通，探索建立符合市场规律的师资流动机制。 </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（七）老年教育国际国内交流计划</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积极学习国内外先进经验，讲好上海老年教育故事。制定新一轮长三角协同发展计划，在老年教育资源建设、师资培训、课题研究等方面加强合作，共享老年教育成果。加强老年教育国际交流，推进上海老年教育经验的国际交流，提升上海老年教育的国际影响力。探索开展社区老年教育特色项目的国际交流，打造上海老年教育的国际化名片。</w:t>
      </w:r>
    </w:p>
    <w:p w:rsidR="00E80036" w:rsidRPr="00E80036" w:rsidRDefault="00E80036" w:rsidP="00E80036">
      <w:pPr>
        <w:spacing w:line="540" w:lineRule="exact"/>
        <w:ind w:firstLineChars="200" w:firstLine="600"/>
        <w:rPr>
          <w:rFonts w:ascii="黑体" w:eastAsia="黑体" w:hAnsi="黑体" w:cs="黑体"/>
          <w:sz w:val="30"/>
          <w:szCs w:val="30"/>
        </w:rPr>
      </w:pPr>
      <w:r w:rsidRPr="00E80036">
        <w:rPr>
          <w:rFonts w:ascii="黑体" w:eastAsia="黑体" w:hAnsi="黑体" w:cs="黑体" w:hint="eastAsia"/>
          <w:sz w:val="30"/>
          <w:szCs w:val="30"/>
        </w:rPr>
        <w:t>五、保障措施</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（一）强化统筹协调机制</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 xml:space="preserve"> 坚持党对老年教育工作的全面领导。发挥政府主导作用，将老年教育纳入区域教育发展规划。督促政府切实履行支持老年教育发展的职责，将老年教育发展情况纳入对各级政府履行教育职责督导范围。发挥市、区老年教育工作小组办公室作用，推动老年教育持续深入发展。</w:t>
      </w:r>
    </w:p>
    <w:p w:rsidR="00E80036" w:rsidRPr="00E80036" w:rsidRDefault="00E80036" w:rsidP="00E80036">
      <w:pPr>
        <w:spacing w:line="540" w:lineRule="exact"/>
        <w:ind w:firstLineChars="200" w:firstLine="600"/>
        <w:rPr>
          <w:rFonts w:ascii="楷体_GB2312" w:eastAsia="楷体_GB2312" w:hAnsi="Calibri"/>
          <w:b/>
          <w:sz w:val="30"/>
          <w:szCs w:val="30"/>
        </w:rPr>
      </w:pPr>
      <w:r w:rsidRPr="00E80036">
        <w:rPr>
          <w:rFonts w:ascii="楷体_GB2312" w:eastAsia="楷体_GB2312" w:hAnsi="Calibri" w:hint="eastAsia"/>
          <w:sz w:val="30"/>
          <w:szCs w:val="30"/>
        </w:rPr>
        <w:t>（二）完善老年教育保障机制</w:t>
      </w:r>
    </w:p>
    <w:p w:rsidR="00E80036" w:rsidRPr="00E80036" w:rsidRDefault="00E80036" w:rsidP="00E80036">
      <w:pPr>
        <w:spacing w:line="540" w:lineRule="exact"/>
        <w:ind w:firstLineChars="200" w:firstLine="600"/>
        <w:rPr>
          <w:rFonts w:ascii="仿宋_GB2312" w:eastAsia="仿宋_GB2312" w:hAnsi="仿宋" w:cs="仿宋"/>
          <w:bCs/>
          <w:sz w:val="30"/>
          <w:szCs w:val="30"/>
        </w:rPr>
      </w:pPr>
      <w:r w:rsidRPr="00E80036">
        <w:rPr>
          <w:rFonts w:ascii="仿宋_GB2312" w:eastAsia="仿宋_GB2312" w:hAnsi="仿宋" w:cs="仿宋" w:hint="eastAsia"/>
          <w:bCs/>
          <w:sz w:val="30"/>
          <w:szCs w:val="30"/>
        </w:rPr>
        <w:t>持续加大老年教育经费投入，探索建立多渠道老年教育经费筹措机制，推动老年教育持续健康发展。加强老年教育师资队伍建设，根据老年教育事业发展趋势，不断扩大各级各类老年教育机构的专职人员配备，畅通其职业发展通道，在业务进修、职务职称评聘、绩效考核等方面给予保障，吸引更多高校毕业生、优秀教师、社会人才加入老年教育队伍。</w:t>
      </w:r>
    </w:p>
    <w:p w:rsidR="00E80036" w:rsidRPr="00E80036" w:rsidRDefault="00E80036" w:rsidP="00E80036">
      <w:pPr>
        <w:spacing w:line="540" w:lineRule="exact"/>
        <w:ind w:firstLineChars="200" w:firstLine="600"/>
        <w:rPr>
          <w:rFonts w:ascii="楷体_GB2312" w:eastAsia="楷体_GB2312" w:hAnsi="Calibri"/>
          <w:sz w:val="30"/>
          <w:szCs w:val="30"/>
        </w:rPr>
      </w:pPr>
      <w:r w:rsidRPr="00E80036">
        <w:rPr>
          <w:rFonts w:ascii="楷体_GB2312" w:eastAsia="楷体_GB2312" w:hAnsi="Calibri" w:hint="eastAsia"/>
          <w:sz w:val="30"/>
          <w:szCs w:val="30"/>
        </w:rPr>
        <w:t>（三）加大老年教育宣传力度</w:t>
      </w:r>
    </w:p>
    <w:p w:rsidR="00E80036" w:rsidRPr="00E80036" w:rsidRDefault="00E80036" w:rsidP="00E80036">
      <w:pPr>
        <w:widowControl/>
        <w:spacing w:line="540" w:lineRule="exact"/>
        <w:jc w:val="left"/>
        <w:rPr>
          <w:rFonts w:ascii="仿宋" w:eastAsia="仿宋" w:hAnsi="仿宋"/>
          <w:sz w:val="30"/>
          <w:szCs w:val="30"/>
        </w:rPr>
      </w:pPr>
      <w:r w:rsidRPr="00E80036">
        <w:rPr>
          <w:rFonts w:ascii="仿宋_GB2312" w:eastAsia="仿宋_GB2312" w:hAnsi="仿宋" w:cs="仿宋" w:hint="eastAsia"/>
          <w:bCs/>
          <w:sz w:val="30"/>
          <w:szCs w:val="30"/>
        </w:rPr>
        <w:t xml:space="preserve">　　加强舆论宣传引导,弘扬积极老龄化的社会氛围，营造尊老助老的良好社会风尚。采取多种宣传形式,树立老年教育工作和老年学习先进典型，推动老年教育成果的展示、交流与共享，形成社会各界共同关心、支持和参与老年教育事业的良好局面。</w:t>
      </w:r>
    </w:p>
    <w:p w:rsidR="00E80036" w:rsidRDefault="00E80036" w:rsidP="00E80036"/>
    <w:p w:rsidR="004779D8" w:rsidRPr="00B0219A" w:rsidRDefault="004779D8">
      <w:pPr>
        <w:spacing w:line="560" w:lineRule="exact"/>
        <w:rPr>
          <w:rFonts w:ascii="仿宋_GB2312" w:eastAsia="仿宋_GB2312"/>
          <w:sz w:val="30"/>
          <w:szCs w:val="30"/>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E80036" w:rsidRDefault="00E80036" w:rsidP="00F8158C">
      <w:pPr>
        <w:spacing w:line="560" w:lineRule="exact"/>
        <w:rPr>
          <w:rFonts w:ascii="黑体" w:eastAsia="黑体"/>
          <w:sz w:val="32"/>
        </w:rPr>
      </w:pPr>
    </w:p>
    <w:p w:rsidR="00F8158C" w:rsidRDefault="00F8158C" w:rsidP="00F8158C">
      <w:pPr>
        <w:spacing w:line="560" w:lineRule="exact"/>
        <w:ind w:right="140"/>
        <w:rPr>
          <w:sz w:val="28"/>
          <w:szCs w:val="28"/>
        </w:rPr>
      </w:pPr>
    </w:p>
    <w:p w:rsidR="00E80036" w:rsidRDefault="00E80036" w:rsidP="00F8158C">
      <w:pPr>
        <w:spacing w:line="560" w:lineRule="exact"/>
        <w:ind w:right="140"/>
        <w:rPr>
          <w:sz w:val="28"/>
          <w:szCs w:val="28"/>
        </w:rPr>
      </w:pPr>
    </w:p>
    <w:p w:rsidR="00E80036" w:rsidRPr="00745286" w:rsidRDefault="00E80036" w:rsidP="00F8158C">
      <w:pPr>
        <w:spacing w:line="560" w:lineRule="exact"/>
        <w:ind w:right="140"/>
        <w:rPr>
          <w:sz w:val="28"/>
          <w:szCs w:val="28"/>
        </w:rPr>
      </w:pPr>
    </w:p>
    <w:tbl>
      <w:tblPr>
        <w:tblpPr w:leftFromText="180" w:rightFromText="180" w:vertAnchor="text" w:horzAnchor="margin" w:tblpY="886"/>
        <w:tblW w:w="0" w:type="auto"/>
        <w:tblBorders>
          <w:top w:val="single" w:sz="12" w:space="0" w:color="auto"/>
          <w:bottom w:val="single" w:sz="12" w:space="0" w:color="auto"/>
        </w:tblBorders>
        <w:tblLook w:val="01E0"/>
      </w:tblPr>
      <w:tblGrid>
        <w:gridCol w:w="4068"/>
        <w:gridCol w:w="4680"/>
        <w:gridCol w:w="289"/>
      </w:tblGrid>
      <w:tr w:rsidR="00F8158C" w:rsidRPr="00745286" w:rsidTr="008A0003">
        <w:tc>
          <w:tcPr>
            <w:tcW w:w="4068" w:type="dxa"/>
          </w:tcPr>
          <w:p w:rsidR="00F8158C" w:rsidRPr="00745286" w:rsidRDefault="00F8158C" w:rsidP="008A0003">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Pr>
          <w:p w:rsidR="00F8158C" w:rsidRPr="00745286" w:rsidRDefault="00F8158C" w:rsidP="008A0003">
            <w:pPr>
              <w:spacing w:line="560" w:lineRule="exact"/>
              <w:jc w:val="right"/>
              <w:rPr>
                <w:rFonts w:ascii="黑体" w:eastAsia="黑体"/>
                <w:sz w:val="28"/>
                <w:szCs w:val="28"/>
              </w:rPr>
            </w:pPr>
            <w:r w:rsidRPr="00745286">
              <w:rPr>
                <w:rFonts w:ascii="仿宋_GB2312" w:eastAsia="仿宋_GB2312" w:hint="eastAsia"/>
                <w:sz w:val="28"/>
                <w:szCs w:val="28"/>
              </w:rPr>
              <w:t>20</w:t>
            </w:r>
            <w:r w:rsidR="003C6054">
              <w:rPr>
                <w:rFonts w:ascii="仿宋_GB2312" w:eastAsia="仿宋_GB2312" w:hint="eastAsia"/>
                <w:sz w:val="28"/>
                <w:szCs w:val="28"/>
              </w:rPr>
              <w:t>22</w:t>
            </w:r>
            <w:r w:rsidRPr="00745286">
              <w:rPr>
                <w:rFonts w:ascii="仿宋_GB2312" w:eastAsia="仿宋_GB2312" w:hint="eastAsia"/>
                <w:sz w:val="28"/>
                <w:szCs w:val="28"/>
              </w:rPr>
              <w:t>年</w:t>
            </w:r>
            <w:r w:rsidR="00E80036">
              <w:rPr>
                <w:rFonts w:ascii="仿宋_GB2312" w:eastAsia="仿宋_GB2312" w:hint="eastAsia"/>
                <w:sz w:val="28"/>
                <w:szCs w:val="28"/>
              </w:rPr>
              <w:t>1</w:t>
            </w:r>
            <w:r w:rsidRPr="00745286">
              <w:rPr>
                <w:rFonts w:ascii="仿宋_GB2312" w:eastAsia="仿宋_GB2312" w:hint="eastAsia"/>
                <w:sz w:val="28"/>
                <w:szCs w:val="28"/>
              </w:rPr>
              <w:t>月</w:t>
            </w:r>
            <w:r w:rsidR="00E80036">
              <w:rPr>
                <w:rFonts w:ascii="仿宋_GB2312" w:eastAsia="仿宋_GB2312" w:hint="eastAsia"/>
                <w:sz w:val="28"/>
                <w:szCs w:val="28"/>
              </w:rPr>
              <w:t>27</w:t>
            </w:r>
            <w:r w:rsidRPr="00745286">
              <w:rPr>
                <w:rFonts w:ascii="仿宋_GB2312" w:eastAsia="仿宋_GB2312" w:hint="eastAsia"/>
                <w:sz w:val="28"/>
                <w:szCs w:val="28"/>
              </w:rPr>
              <w:t>日印发</w:t>
            </w:r>
          </w:p>
        </w:tc>
        <w:tc>
          <w:tcPr>
            <w:tcW w:w="289" w:type="dxa"/>
          </w:tcPr>
          <w:p w:rsidR="00F8158C" w:rsidRPr="00745286" w:rsidRDefault="00F8158C" w:rsidP="008A0003">
            <w:pPr>
              <w:spacing w:line="560" w:lineRule="exact"/>
              <w:ind w:rightChars="171" w:right="359"/>
              <w:jc w:val="right"/>
              <w:rPr>
                <w:rFonts w:ascii="黑体" w:eastAsia="黑体"/>
                <w:sz w:val="28"/>
                <w:szCs w:val="28"/>
              </w:rPr>
            </w:pPr>
          </w:p>
        </w:tc>
      </w:tr>
    </w:tbl>
    <w:p w:rsidR="00F8158C" w:rsidRDefault="00F8158C">
      <w:pPr>
        <w:spacing w:line="560" w:lineRule="exact"/>
        <w:rPr>
          <w:rFonts w:ascii="黑体" w:eastAsia="黑体"/>
          <w:sz w:val="32"/>
        </w:rPr>
      </w:pPr>
    </w:p>
    <w:sectPr w:rsidR="00F8158C" w:rsidSect="00B31A1C">
      <w:footerReference w:type="even" r:id="rId6"/>
      <w:footerReference w:type="default" r:id="rId7"/>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F7" w:rsidRDefault="008719F7">
      <w:r>
        <w:separator/>
      </w:r>
    </w:p>
  </w:endnote>
  <w:endnote w:type="continuationSeparator" w:id="0">
    <w:p w:rsidR="008719F7" w:rsidRDefault="00871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4D4DAE">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4D4DAE">
      <w:rPr>
        <w:rStyle w:val="a4"/>
        <w:rFonts w:ascii="宋体" w:hAnsi="宋体"/>
        <w:sz w:val="28"/>
      </w:rPr>
      <w:fldChar w:fldCharType="begin"/>
    </w:r>
    <w:r>
      <w:rPr>
        <w:rStyle w:val="a4"/>
        <w:rFonts w:ascii="宋体" w:hAnsi="宋体"/>
        <w:sz w:val="28"/>
      </w:rPr>
      <w:instrText xml:space="preserve">PAGE  </w:instrText>
    </w:r>
    <w:r w:rsidR="004D4DAE">
      <w:rPr>
        <w:rStyle w:val="a4"/>
        <w:rFonts w:ascii="宋体" w:hAnsi="宋体"/>
        <w:sz w:val="28"/>
      </w:rPr>
      <w:fldChar w:fldCharType="separate"/>
    </w:r>
    <w:r w:rsidR="008719F7">
      <w:rPr>
        <w:rStyle w:val="a4"/>
        <w:rFonts w:ascii="宋体" w:hAnsi="宋体"/>
        <w:noProof/>
        <w:sz w:val="28"/>
      </w:rPr>
      <w:t>1</w:t>
    </w:r>
    <w:r w:rsidR="004D4DAE">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F7" w:rsidRDefault="008719F7">
      <w:r>
        <w:separator/>
      </w:r>
    </w:p>
  </w:footnote>
  <w:footnote w:type="continuationSeparator" w:id="0">
    <w:p w:rsidR="008719F7" w:rsidRDefault="008719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962E6"/>
    <w:rsid w:val="000710C2"/>
    <w:rsid w:val="0007700D"/>
    <w:rsid w:val="00082EC4"/>
    <w:rsid w:val="00095E3D"/>
    <w:rsid w:val="000962E6"/>
    <w:rsid w:val="001B2AE5"/>
    <w:rsid w:val="002462AA"/>
    <w:rsid w:val="00256187"/>
    <w:rsid w:val="00351EB8"/>
    <w:rsid w:val="003C6054"/>
    <w:rsid w:val="003D4F38"/>
    <w:rsid w:val="00462980"/>
    <w:rsid w:val="004779D8"/>
    <w:rsid w:val="004D4DAE"/>
    <w:rsid w:val="004D6037"/>
    <w:rsid w:val="005173F0"/>
    <w:rsid w:val="00541AAD"/>
    <w:rsid w:val="005D6AB9"/>
    <w:rsid w:val="00640C50"/>
    <w:rsid w:val="00695B5E"/>
    <w:rsid w:val="00860422"/>
    <w:rsid w:val="008719F7"/>
    <w:rsid w:val="008A0003"/>
    <w:rsid w:val="00904822"/>
    <w:rsid w:val="009273D4"/>
    <w:rsid w:val="009572C0"/>
    <w:rsid w:val="00977C74"/>
    <w:rsid w:val="009F7BAF"/>
    <w:rsid w:val="00B0219A"/>
    <w:rsid w:val="00B12366"/>
    <w:rsid w:val="00B31A1C"/>
    <w:rsid w:val="00B42479"/>
    <w:rsid w:val="00B5256D"/>
    <w:rsid w:val="00BA3B51"/>
    <w:rsid w:val="00BD6D35"/>
    <w:rsid w:val="00CB3DDD"/>
    <w:rsid w:val="00D10D81"/>
    <w:rsid w:val="00DE3BA0"/>
    <w:rsid w:val="00E80036"/>
    <w:rsid w:val="00F8158C"/>
    <w:rsid w:val="00FB64B9"/>
    <w:rsid w:val="00FE0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A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1A1C"/>
    <w:pPr>
      <w:tabs>
        <w:tab w:val="center" w:pos="4153"/>
        <w:tab w:val="right" w:pos="8306"/>
      </w:tabs>
      <w:snapToGrid w:val="0"/>
      <w:jc w:val="left"/>
    </w:pPr>
    <w:rPr>
      <w:sz w:val="18"/>
    </w:rPr>
  </w:style>
  <w:style w:type="character" w:styleId="a4">
    <w:name w:val="page number"/>
    <w:basedOn w:val="a0"/>
    <w:rsid w:val="00B31A1C"/>
  </w:style>
  <w:style w:type="paragraph" w:styleId="a5">
    <w:name w:val="header"/>
    <w:basedOn w:val="a"/>
    <w:rsid w:val="00B31A1C"/>
    <w:pPr>
      <w:pBdr>
        <w:bottom w:val="single" w:sz="6" w:space="1" w:color="auto"/>
      </w:pBdr>
      <w:tabs>
        <w:tab w:val="center" w:pos="4153"/>
        <w:tab w:val="right" w:pos="8306"/>
      </w:tabs>
      <w:snapToGrid w:val="0"/>
      <w:jc w:val="center"/>
    </w:pPr>
    <w:rPr>
      <w:sz w:val="18"/>
    </w:r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公文模版2022</Template>
  <TotalTime>16</TotalTime>
  <Pages>12</Pages>
  <Words>980</Words>
  <Characters>5590</Characters>
  <Application>Microsoft Office Word</Application>
  <DocSecurity>0</DocSecurity>
  <Lines>46</Lines>
  <Paragraphs>13</Paragraphs>
  <ScaleCrop>false</ScaleCrop>
  <Company>Microsoft</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2001-01-04T07:59:00Z</cp:lastPrinted>
  <dcterms:created xsi:type="dcterms:W3CDTF">2022-01-27T01:26:00Z</dcterms:created>
  <dcterms:modified xsi:type="dcterms:W3CDTF">2022-03-01T13:49:00Z</dcterms:modified>
</cp:coreProperties>
</file>