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0"/>
          <w:lang w:val="en-US" w:eastAsia="zh-CN"/>
        </w:rPr>
        <w:t>附件</w:t>
      </w:r>
      <w:r>
        <w:rPr>
          <w:rFonts w:hint="eastAsia" w:ascii="仿宋_GB2312" w:hAnsi="仿宋_GB2312" w:eastAsia="仿宋_GB2312" w:cs="Times New Roman"/>
          <w:color w:val="000000"/>
          <w:sz w:val="32"/>
          <w:szCs w:val="30"/>
          <w:lang w:val="en-US" w:eastAsia="zh-CN"/>
        </w:rPr>
        <w:t>2</w:t>
      </w:r>
    </w:p>
    <w:p>
      <w:pPr>
        <w:autoSpaceDE w:val="0"/>
        <w:autoSpaceDN w:val="0"/>
        <w:adjustRightInd w:val="0"/>
        <w:spacing w:before="120" w:beforeLines="50" w:after="120" w:afterLines="50" w:line="360" w:lineRule="auto"/>
        <w:ind w:right="-45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b/>
          <w:bCs/>
          <w:color w:val="000000"/>
          <w:kern w:val="2"/>
          <w:sz w:val="44"/>
          <w:szCs w:val="44"/>
          <w:lang w:val="zh-CN" w:eastAsia="zh-CN" w:bidi="ar-SA"/>
        </w:rPr>
        <w:t>202</w:t>
      </w:r>
      <w:r>
        <w:rPr>
          <w:rFonts w:hint="eastAsia" w:ascii="方正小标宋简体" w:hAnsi="方正小标宋简体" w:eastAsia="方正小标宋简体" w:cs="Times New Roman"/>
          <w:b/>
          <w:bCs/>
          <w:color w:val="000000"/>
          <w:kern w:val="2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zh-CN" w:eastAsia="zh-CN" w:bidi="ar-SA"/>
        </w:rPr>
        <w:t>年浦东新区地产农产品质量监测方案</w:t>
      </w:r>
    </w:p>
    <w:bookmarkEnd w:id="0"/>
    <w:p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为深入贯彻落实习近平总书记“四个最严”指示精神，守住食用农产品质量安全底线，确保“治违禁、控药残、促提升”三年行动取得明显成效，不断巩固农产品质量安全稳中向好态势，结合我区实际，制定本方案。</w:t>
      </w:r>
    </w:p>
    <w:p>
      <w:pPr>
        <w:tabs>
          <w:tab w:val="left" w:pos="14"/>
        </w:tabs>
        <w:autoSpaceDE w:val="0"/>
        <w:autoSpaceDN w:val="0"/>
        <w:adjustRightInd w:val="0"/>
        <w:spacing w:line="360" w:lineRule="auto"/>
        <w:ind w:right="-45" w:firstLine="640" w:firstLineChars="200"/>
        <w:jc w:val="left"/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zh-CN"/>
        </w:rPr>
        <w:t>一、监测时间及对象</w:t>
      </w:r>
    </w:p>
    <w:p>
      <w:pPr>
        <w:tabs>
          <w:tab w:val="left" w:pos="14"/>
        </w:tabs>
        <w:autoSpaceDE w:val="0"/>
        <w:autoSpaceDN w:val="0"/>
        <w:adjustRightInd w:val="0"/>
        <w:spacing w:line="360" w:lineRule="auto"/>
        <w:ind w:right="-45"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本年度地产农产品质量监测自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月起至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月止，按月度开展（见附表），具体安排以当月采样通知为准。</w:t>
      </w:r>
    </w:p>
    <w:p>
      <w:pPr>
        <w:tabs>
          <w:tab w:val="left" w:pos="14"/>
        </w:tabs>
        <w:autoSpaceDE w:val="0"/>
        <w:autoSpaceDN w:val="0"/>
        <w:adjustRightInd w:val="0"/>
        <w:spacing w:line="360" w:lineRule="auto"/>
        <w:ind w:right="-45" w:firstLine="640" w:firstLineChars="200"/>
        <w:jc w:val="left"/>
        <w:rPr>
          <w:rFonts w:hint="eastAsia" w:ascii="Times New Roman" w:hAnsi="Times New Roman" w:eastAsia="仿宋_GB2312" w:cs="仿宋_GB2312"/>
          <w:color w:val="0000FF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监测对象为本区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个镇的蔬菜、草莓、西甜瓜、林果、水稻、食用菌、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水产品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生产基地、合作社、家庭农场和种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养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户，重点将加强种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养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散户的监测力度。</w:t>
      </w:r>
    </w:p>
    <w:p>
      <w:pPr>
        <w:tabs>
          <w:tab w:val="left" w:pos="14"/>
          <w:tab w:val="left" w:pos="432"/>
        </w:tabs>
        <w:autoSpaceDE w:val="0"/>
        <w:autoSpaceDN w:val="0"/>
        <w:adjustRightInd w:val="0"/>
        <w:spacing w:line="360" w:lineRule="auto"/>
        <w:ind w:right="-45" w:firstLine="640" w:firstLineChars="200"/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zh-CN"/>
        </w:rPr>
        <w:t>二、监测形式和数量</w:t>
      </w:r>
    </w:p>
    <w:p>
      <w:p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right="-45"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ab/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全年计划抽检各类地产农产品样品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103220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份。</w:t>
      </w:r>
    </w:p>
    <w:p>
      <w:pPr>
        <w:numPr>
          <w:ilvl w:val="0"/>
          <w:numId w:val="1"/>
        </w:num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left="0" w:leftChars="0" w:right="-45" w:firstLine="420" w:firstLineChars="0"/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  <w:t>蔬菜</w:t>
      </w:r>
    </w:p>
    <w:p>
      <w:p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right="-45" w:firstLine="643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zh-CN"/>
        </w:rPr>
        <w:t>1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  <w:t>、区级例行监测：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月开始，至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月结束。每月随机抽检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个镇，部分田间采样，全年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430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份，并每月随机抽取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份样品进行重金属残留监测，侧重种植散户。</w:t>
      </w:r>
    </w:p>
    <w:p>
      <w:p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right="-45" w:firstLine="643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zh-CN"/>
        </w:rPr>
        <w:t>2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  <w:t>、市级例行监测（考核项）：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月开始，至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月结束。每月抽检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个镇，全年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335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份，实际抽检约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份，侧重园艺场及合作社。</w:t>
      </w:r>
    </w:p>
    <w:p>
      <w:p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right="-45" w:firstLine="643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zh-CN"/>
        </w:rPr>
        <w:t>3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  <w:t>、专项检查：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将根据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上级要求，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对芹菜、豇豆、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韭菜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等风险品种进行专项抽检，同时开展若干次节前检查，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全年约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份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。</w:t>
      </w:r>
    </w:p>
    <w:p>
      <w:p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right="-45" w:firstLine="643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  <w:t>、快速检测：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月开始，至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月结束。各镇根据计划有序安排速测工作，全年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165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万份（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包含胶体金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），确保全覆盖。</w:t>
      </w:r>
    </w:p>
    <w:p>
      <w:pPr>
        <w:pStyle w:val="2"/>
        <w:spacing w:line="360" w:lineRule="auto"/>
        <w:ind w:firstLine="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 w:eastAsia="zh-CN" w:bidi="ar-SA"/>
        </w:rPr>
        <w:t xml:space="preserve">  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 w:eastAsia="zh-CN" w:bidi="ar-SA"/>
        </w:rPr>
        <w:t>、市级飞行抽检：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每季度一次，共四次，对我区“沪农安”生产主体进行随机抽检，全年约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170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份。</w:t>
      </w:r>
    </w:p>
    <w:p>
      <w:pPr>
        <w:numPr>
          <w:ilvl w:val="0"/>
          <w:numId w:val="1"/>
        </w:num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left="0" w:leftChars="0" w:right="-45" w:firstLine="420" w:firstLineChars="0"/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  <w:t>经济作物</w:t>
      </w:r>
    </w:p>
    <w:p>
      <w:p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right="-45" w:firstLine="643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zh-CN"/>
        </w:rPr>
        <w:t>1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  <w:t>、草莓：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区级例行监测形式，从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月开始，至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月结束。对本区草莓种植户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农药残留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以及重金属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残留监测，全年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份。</w:t>
      </w:r>
    </w:p>
    <w:p>
      <w:p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right="-45" w:firstLine="643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zh-CN"/>
        </w:rPr>
        <w:t>2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  <w:t>、食用菌：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区级例行监测形式，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月各一次。对本区食用菌种植户全覆盖农药残留及重金属残留监测，全年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份。</w:t>
      </w:r>
    </w:p>
    <w:p>
      <w:p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right="-45" w:firstLine="643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zh-CN"/>
        </w:rPr>
        <w:t>3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  <w:t>、稻米：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区级例行监测形式，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11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月。对本区主要稻米生产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示范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基地进行农药残留及重金属残留监测，全年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份。</w:t>
      </w:r>
    </w:p>
    <w:p>
      <w:p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right="-45" w:firstLine="643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zh-CN"/>
        </w:rPr>
        <w:t>4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  <w:t>、果品：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区级例行监测形式，从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月开始，至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8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月结束。对本区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主要果品生产基地进行全覆盖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农药残留及重金属残留监测，全年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250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份。</w:t>
      </w:r>
    </w:p>
    <w:p>
      <w:pPr>
        <w:numPr>
          <w:ilvl w:val="0"/>
          <w:numId w:val="1"/>
        </w:num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left="0" w:leftChars="0" w:right="-45" w:firstLine="420" w:firstLineChars="0"/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/>
        </w:rPr>
        <w:t>水产品</w:t>
      </w:r>
    </w:p>
    <w:p>
      <w:pPr>
        <w:pStyle w:val="2"/>
        <w:spacing w:line="360" w:lineRule="auto"/>
        <w:ind w:firstLine="56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区级例行监测形式，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本区持证水产养殖场（户）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及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垂钓场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进行全覆盖渔药残留监测。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抽检时间为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月，抽检品种为团头鲂、大口黑鲈、鲫鱼、鳙鱼、翘嘴红鲌、南美白对虾、中华绒螯蟹等，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全年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份。</w:t>
      </w:r>
    </w:p>
    <w:p>
      <w:pPr>
        <w:pStyle w:val="2"/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</w:rPr>
        <w:t>市级监测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除蔬菜之外，市级例行监测还包括果品、食用菌、稻米和养殖业产品等，根据市级计划。</w:t>
      </w:r>
    </w:p>
    <w:p>
      <w:pPr>
        <w:autoSpaceDE w:val="0"/>
        <w:autoSpaceDN w:val="0"/>
        <w:adjustRightInd w:val="0"/>
        <w:spacing w:line="360" w:lineRule="auto"/>
        <w:ind w:right="-45" w:firstLine="640" w:firstLineChars="200"/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zh-CN"/>
        </w:rPr>
        <w:t>三、监测参数</w:t>
      </w:r>
    </w:p>
    <w:p>
      <w:p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right="-45" w:firstLine="643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 w:eastAsia="zh-CN" w:bidi="ar-SA"/>
        </w:rPr>
        <w:t>农药残留（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zh-CN" w:eastAsia="zh-CN" w:bidi="ar-SA"/>
        </w:rPr>
        <w:t>83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zh-CN" w:eastAsia="zh-CN" w:bidi="ar-SA"/>
        </w:rPr>
        <w:t>种）：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敌敌畏、甲胺磷、乙酰甲胺磷、乐果、久效磷、甲拌磷、甲基对硫磷、水胺硫磷、三唑磷、杀螟硫磷、毒死蜱、对硫磷、马拉硫磷、二嗪磷、甲基异柳磷、丙溴磷、亚胺硫磷、伏杀硫磷、磷铵、氧化乐果、辛硫磷、克百威、三羟基克百威、甲萘威、异丙威、涕灭威、灭多威、涕灭威砜、涕灭威亚砜、阿维菌素、甲氨基阿维菌素、氟虫腈、烯酰吗啉、除虫脲、灭幼脲、嘧菌酯、咪鲜胺、苯醚甲环唑、噻虫嗪、嘧霉胺、多菌灵、吡虫啉、啶虫脒、哒螨灵、灭蝇胺、啶酰菌胺、氯虫苯甲酰胺、氟啶脲、氯菊酯（异构体之和）、醚菊酯、虫酰肼、吡唑醚菌酯、甲霜灵、霜霉威、多效唑、氯吡脲、戊唑醇、烯啶虫胺、茚虫威、甲氧虫酰肼、丙环唑、嘧菌环胺、氯唑磷、治螟磷、特丁硫磷、联苯菊酯、氯氟氰菊酯、氟氯氰菊酯、百菌清、三唑酮、氯氰菊酯、氰戊菊酯、溴氰菊酯、甲氰菊酯、氟氰戊菊酯、氟胺氰菊酯、乙烯菌核利、三氯杀螨醇、二甲戊乐灵、腐霉利、虫螨腈、异菌脲，五氯硝基苯。</w:t>
      </w:r>
    </w:p>
    <w:p>
      <w:pPr>
        <w:tabs>
          <w:tab w:val="left" w:pos="14"/>
          <w:tab w:val="left" w:pos="432"/>
          <w:tab w:val="left" w:pos="547"/>
        </w:tabs>
        <w:autoSpaceDE w:val="0"/>
        <w:autoSpaceDN w:val="0"/>
        <w:adjustRightInd w:val="0"/>
        <w:spacing w:line="360" w:lineRule="auto"/>
        <w:ind w:right="-45" w:firstLine="643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en-US" w:eastAsia="zh-CN" w:bidi="ar-SA"/>
        </w:rPr>
        <w:t>、重金属残留（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  <w:lang w:val="en-US" w:eastAsia="zh-CN" w:bidi="ar-SA"/>
        </w:rPr>
        <w:t>种）：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铅、镉、铬、汞、砷、铜、锌、镍。</w:t>
      </w:r>
    </w:p>
    <w:p>
      <w:pPr>
        <w:pStyle w:val="2"/>
        <w:spacing w:line="360" w:lineRule="auto"/>
        <w:ind w:firstLine="643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</w:rPr>
        <w:t>3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</w:rPr>
        <w:t>、渔药残留（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</w:rPr>
        <w:t>20</w:t>
      </w:r>
      <w:r>
        <w:rPr>
          <w:rFonts w:hint="eastAsia" w:ascii="Times New Roman" w:hAnsi="Times New Roman" w:eastAsia="楷体_GB2312" w:cs="楷体_GB2312"/>
          <w:b/>
          <w:bCs/>
          <w:kern w:val="0"/>
          <w:sz w:val="32"/>
          <w:szCs w:val="32"/>
        </w:rPr>
        <w:t>种）：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孔雀石绿、磺胺类、氟喹诺酮类、地西泮。</w:t>
      </w:r>
    </w:p>
    <w:p>
      <w:pPr>
        <w:tabs>
          <w:tab w:val="left" w:pos="0"/>
          <w:tab w:val="left" w:pos="422"/>
          <w:tab w:val="left" w:pos="523"/>
        </w:tabs>
        <w:autoSpaceDE w:val="0"/>
        <w:autoSpaceDN w:val="0"/>
        <w:adjustRightInd w:val="0"/>
        <w:spacing w:line="360" w:lineRule="auto"/>
        <w:ind w:right="-45" w:firstLine="640" w:firstLineChars="200"/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zh-CN"/>
        </w:rPr>
        <w:t>四、判定依据</w:t>
      </w:r>
    </w:p>
    <w:p>
      <w:pPr>
        <w:tabs>
          <w:tab w:val="left" w:pos="0"/>
          <w:tab w:val="left" w:pos="422"/>
          <w:tab w:val="left" w:pos="523"/>
        </w:tabs>
        <w:autoSpaceDE w:val="0"/>
        <w:autoSpaceDN w:val="0"/>
        <w:adjustRightInd w:val="0"/>
        <w:spacing w:line="360" w:lineRule="auto"/>
        <w:ind w:right="-45"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 xml:space="preserve">检测结果按GB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2763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2021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 xml:space="preserve">《食品安全国家标准食品中最大农药残留限量》、GB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2762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2017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《食品安全国家标准食品中污染物限量》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及相关农业部公告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进行判定。如超标将发送《地产农产品超标告知书》，并请按告知书要求做好相关工作。</w:t>
      </w:r>
    </w:p>
    <w:p>
      <w:pPr>
        <w:tabs>
          <w:tab w:val="left" w:pos="417"/>
        </w:tabs>
        <w:autoSpaceDE w:val="0"/>
        <w:autoSpaceDN w:val="0"/>
        <w:adjustRightInd w:val="0"/>
        <w:spacing w:line="360" w:lineRule="auto"/>
        <w:ind w:right="-45" w:firstLine="640" w:firstLineChars="200"/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zh-CN"/>
        </w:rPr>
        <w:t>五、工作要求</w:t>
      </w:r>
    </w:p>
    <w:p>
      <w:pPr>
        <w:tabs>
          <w:tab w:val="left" w:pos="417"/>
        </w:tabs>
        <w:autoSpaceDE w:val="0"/>
        <w:autoSpaceDN w:val="0"/>
        <w:adjustRightInd w:val="0"/>
        <w:spacing w:line="360" w:lineRule="auto"/>
        <w:ind w:right="-45"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各镇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应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高度重视本年度地产农产品质量监测工作，做好相关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方案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计划和安排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，加强监管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监测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力度，做好指导服务工作，力争地产农产品监测合格率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99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t>%以上。</w:t>
      </w:r>
    </w:p>
    <w:p>
      <w:pPr>
        <w:tabs>
          <w:tab w:val="left" w:pos="417"/>
        </w:tabs>
        <w:autoSpaceDE w:val="0"/>
        <w:autoSpaceDN w:val="0"/>
        <w:adjustRightInd w:val="0"/>
        <w:spacing w:line="360" w:lineRule="auto"/>
        <w:ind w:right="-45"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、根据市乡村振兴考核及上级相关工作要求，各镇应合理安排抽检计划和抽检对象，确保蔬菜、果品及水产品的全覆盖定量监测。其中快速检测根据区农安中心分配的计划任务，形成各镇速测计划并报区农安中心。</w:t>
      </w:r>
    </w:p>
    <w:p>
      <w:pPr>
        <w:pStyle w:val="2"/>
        <w:spacing w:line="360" w:lineRule="auto"/>
        <w:ind w:firstLine="64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、各镇应加大新型“胶体金”检测技术推广应用，根据技术指导意见，督促指导生产主体开展“胶体金”快速检测工作，做到应检尽检。同时加强宣传和动员，逐步将镇级快速检测向“胶体金”检测转型。</w:t>
      </w:r>
    </w:p>
    <w:p>
      <w:pPr>
        <w:pStyle w:val="3"/>
        <w:ind w:firstLine="640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417"/>
          <w:tab w:val="left" w:pos="5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-45"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附表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2024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年浦东新区蔬菜农药残留监测计划表</w:t>
      </w:r>
    </w:p>
    <w:p>
      <w:pPr>
        <w:keepNext w:val="0"/>
        <w:keepLines w:val="0"/>
        <w:pageBreakBefore w:val="0"/>
        <w:widowControl w:val="0"/>
        <w:tabs>
          <w:tab w:val="left" w:pos="417"/>
          <w:tab w:val="left" w:pos="5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-45" w:firstLine="640" w:firstLineChars="200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 xml:space="preserve">      2.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2024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年浦东新区水产品药物残留监测计划表</w:t>
      </w:r>
    </w:p>
    <w:p>
      <w:pPr>
        <w:keepNext w:val="0"/>
        <w:keepLines w:val="0"/>
        <w:pageBreakBefore w:val="0"/>
        <w:widowControl w:val="0"/>
        <w:tabs>
          <w:tab w:val="left" w:pos="41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-45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  <w:sectPr>
          <w:footerReference r:id="rId3" w:type="default"/>
          <w:footerReference r:id="rId4" w:type="even"/>
          <w:pgSz w:w="11907" w:h="16840"/>
          <w:pgMar w:top="1304" w:right="1588" w:bottom="1304" w:left="1588" w:header="720" w:footer="720" w:gutter="0"/>
          <w:cols w:space="0" w:num="1"/>
          <w:rtlGutter w:val="0"/>
          <w:docGrid w:linePitch="286" w:charSpace="0"/>
        </w:sectPr>
      </w:pPr>
    </w:p>
    <w:tbl>
      <w:tblPr>
        <w:tblStyle w:val="5"/>
        <w:tblpPr w:leftFromText="180" w:rightFromText="180" w:vertAnchor="text" w:tblpXSpec="center" w:tblpY="1"/>
        <w:tblOverlap w:val="never"/>
        <w:tblW w:w="5061" w:type="pct"/>
        <w:tblInd w:w="-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98"/>
        <w:gridCol w:w="805"/>
        <w:gridCol w:w="426"/>
        <w:gridCol w:w="480"/>
        <w:gridCol w:w="520"/>
        <w:gridCol w:w="396"/>
        <w:gridCol w:w="444"/>
        <w:gridCol w:w="560"/>
        <w:gridCol w:w="467"/>
        <w:gridCol w:w="507"/>
        <w:gridCol w:w="520"/>
        <w:gridCol w:w="506"/>
        <w:gridCol w:w="440"/>
        <w:gridCol w:w="42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3"/>
        <w:gridCol w:w="502"/>
        <w:gridCol w:w="529"/>
        <w:gridCol w:w="217"/>
        <w:gridCol w:w="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附表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2024</w:t>
            </w:r>
            <w:r>
              <w:rPr>
                <w:rStyle w:val="8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bidi="ar"/>
              </w:rPr>
              <w:t>年浦东新区蔬菜农残监测任务计划表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4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镇</w:t>
            </w:r>
          </w:p>
        </w:tc>
        <w:tc>
          <w:tcPr>
            <w:tcW w:w="2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速测计划</w:t>
            </w:r>
          </w:p>
        </w:tc>
        <w:tc>
          <w:tcPr>
            <w:tcW w:w="4142" w:type="pct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精测计划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32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34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362" w:type="pct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30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36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164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区检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市检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6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高东</w:t>
            </w:r>
          </w:p>
        </w:tc>
        <w:tc>
          <w:tcPr>
            <w:tcW w:w="28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高桥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曹路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3500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唐镇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合庆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张江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1350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三林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康桥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航头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10000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新场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10000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宣桥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周浦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川沙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10000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祝桥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惠南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5500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7000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老港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8000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万祥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4500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书院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8000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泥城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150" w:type="pc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1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101650</w:t>
            </w:r>
          </w:p>
        </w:tc>
        <w:tc>
          <w:tcPr>
            <w:tcW w:w="31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2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4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6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0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5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6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711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注：区检：区级例行抽检    市检：市级例行监测        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2"/>
        <w:rPr>
          <w:rFonts w:hint="eastAsia" w:ascii="Times New Roman" w:hAnsi="Times New Roman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3"/>
        <w:rPr>
          <w:rFonts w:hint="eastAsia" w:ascii="Times New Roman" w:hAnsi="Times New Roman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3"/>
        <w:rPr>
          <w:rFonts w:hint="eastAsia" w:ascii="Times New Roman" w:hAnsi="Times New Roman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3"/>
        <w:rPr>
          <w:rFonts w:hint="eastAsia" w:ascii="Times New Roman" w:hAnsi="Times New Roman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3"/>
        <w:rPr>
          <w:rFonts w:hint="eastAsia" w:ascii="Times New Roman" w:hAnsi="Times New Roman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3"/>
        <w:rPr>
          <w:rFonts w:hint="eastAsia" w:ascii="Times New Roman" w:hAnsi="Times New Roman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>
      <w:pPr>
        <w:pStyle w:val="3"/>
        <w:rPr>
          <w:rFonts w:hint="eastAsia" w:ascii="Times New Roman" w:hAnsi="Times New Roman" w:eastAsia="仿宋" w:cs="仿宋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附表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2024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年浦东新区水产品药物残留监测任务计划表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96"/>
        <w:gridCol w:w="999"/>
        <w:gridCol w:w="999"/>
        <w:gridCol w:w="999"/>
        <w:gridCol w:w="999"/>
        <w:gridCol w:w="999"/>
        <w:gridCol w:w="999"/>
        <w:gridCol w:w="1000"/>
        <w:gridCol w:w="1000"/>
        <w:gridCol w:w="10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镇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6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7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8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9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10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11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12</w:t>
            </w:r>
            <w:r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高桥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曹路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唐镇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合庆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张江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三林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航头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新场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宣桥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周浦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川沙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祝桥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惠南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大团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老港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万祥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书院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泥城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  <w:t>临港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7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/>
                <w:sz w:val="21"/>
                <w:szCs w:val="21"/>
              </w:rPr>
              <w:t>合计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Style w:val="8"/>
                <w:rFonts w:hint="default" w:ascii="Times New Roman" w:hAnsi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3"/>
        <w:spacing w:line="360" w:lineRule="auto"/>
        <w:rPr>
          <w:rFonts w:hint="default" w:ascii="Times New Roman" w:hAnsi="Times New Roman" w:eastAsia="宋体" w:cs="宋体"/>
          <w:b/>
          <w:bCs/>
          <w:color w:val="000000"/>
          <w:kern w:val="2"/>
          <w:sz w:val="44"/>
          <w:szCs w:val="44"/>
          <w:lang w:val="en-US" w:eastAsia="zh-CN" w:bidi="ar-SA"/>
        </w:rPr>
      </w:pPr>
    </w:p>
    <w:p/>
    <w:sectPr>
      <w:footerReference r:id="rId5" w:type="default"/>
      <w:pgSz w:w="16838" w:h="11906" w:orient="landscape"/>
      <w:pgMar w:top="1587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Style w:val="7"/>
        <w:rFonts w:hint="eastAsia" w:ascii="宋体" w:hAnsi="宋体"/>
        <w:sz w:val="28"/>
        <w:szCs w:val="28"/>
      </w:rPr>
      <w:t xml:space="preserve">-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7"/>
        <w:rFonts w:hint="eastAsia" w:ascii="宋体" w:hAnsi="宋体"/>
        <w:sz w:val="28"/>
        <w:szCs w:val="28"/>
      </w:rPr>
      <w:t xml:space="preserve">-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Style w:val="7"/>
        <w:rFonts w:hint="eastAsia" w:ascii="宋体" w:hAnsi="宋体"/>
        <w:sz w:val="28"/>
        <w:szCs w:val="28"/>
      </w:rPr>
      <w:t xml:space="preserve">-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9C707"/>
    <w:multiLevelType w:val="singleLevel"/>
    <w:tmpl w:val="3A49C70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518E2E9B"/>
    <w:rsid w:val="518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99"/>
    <w:pPr>
      <w:ind w:firstLine="184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font4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2024-01-24T05:39:00Z</dcterms:created>
  <dc:creator>Jane</dc:creator>
  <cp:lastModifiedBy>Jane</cp:lastModifiedBy>
  <dcterms:modified xsi:type="dcterms:W3CDTF">2024-01-24T05:40:20Z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15CDC86E0F6048DA999D9F65A7C4F1AC_11</vt:lpwstr>
  </property>
</Properties>
</file>