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00" w:lineRule="exact"/>
        <w:ind w:left="0" w:right="0"/>
        <w:jc w:val="center"/>
        <w:rPr>
          <w:rFonts w:hint="eastAsia" w:ascii="华文中宋" w:hAnsi="华文中宋" w:eastAsia="华文中宋" w:cs="华文中宋"/>
          <w:b/>
          <w:bCs/>
          <w:spacing w:val="-20"/>
          <w:kern w:val="2"/>
          <w:sz w:val="36"/>
          <w:szCs w:val="36"/>
        </w:rPr>
      </w:pPr>
      <w:bookmarkStart w:id="0" w:name="_GoBack"/>
      <w:r>
        <w:rPr>
          <w:rFonts w:hint="eastAsia" w:ascii="华文中宋" w:hAnsi="华文中宋" w:eastAsia="华文中宋" w:cs="华文中宋"/>
          <w:b/>
          <w:bCs/>
          <w:spacing w:val="-20"/>
          <w:kern w:val="2"/>
          <w:sz w:val="36"/>
          <w:szCs w:val="36"/>
          <w:lang w:val="en-US" w:eastAsia="zh-CN" w:bidi="ar"/>
        </w:rPr>
        <w:t>市公共资源交易平台与财政国库集中支付平台对接方案</w:t>
      </w:r>
    </w:p>
    <w:bookmarkEnd w:id="0"/>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rPr>
      </w:pPr>
      <w:r>
        <w:rPr>
          <w:rFonts w:hint="eastAsia" w:ascii="仿宋" w:hAnsi="仿宋" w:eastAsia="仿宋" w:cs="仿宋"/>
          <w:spacing w:val="-6"/>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16" w:firstLineChars="200"/>
        <w:jc w:val="both"/>
        <w:rPr>
          <w:rFonts w:hint="eastAsia" w:ascii="仿宋_GB2312" w:hAnsi="仿宋" w:eastAsia="仿宋_GB2312" w:cs="仿宋"/>
          <w:kern w:val="2"/>
          <w:sz w:val="32"/>
          <w:szCs w:val="32"/>
        </w:rPr>
      </w:pPr>
      <w:r>
        <w:rPr>
          <w:rFonts w:hint="eastAsia" w:ascii="仿宋_GB2312" w:hAnsi="仿宋" w:eastAsia="仿宋_GB2312" w:cs="仿宋_GB2312"/>
          <w:spacing w:val="-6"/>
          <w:kern w:val="2"/>
          <w:sz w:val="32"/>
          <w:szCs w:val="32"/>
          <w:lang w:val="en-US" w:eastAsia="zh-CN" w:bidi="ar"/>
        </w:rPr>
        <w:t>根据《上海市加强改革系统集成持续深化国际一流营商环境建设行动方案》和《上海市公共资源交易平台</w:t>
      </w:r>
      <w:r>
        <w:rPr>
          <w:rFonts w:hint="eastAsia" w:ascii="仿宋_GB2312" w:hAnsi="仿宋" w:eastAsia="仿宋_GB2312" w:cs="仿宋"/>
          <w:spacing w:val="-6"/>
          <w:kern w:val="2"/>
          <w:sz w:val="32"/>
          <w:szCs w:val="32"/>
          <w:lang w:val="en-US" w:eastAsia="zh-CN" w:bidi="ar"/>
        </w:rPr>
        <w:t>“一网三平台”建设实施方案》的有关要求，制定本方案。</w:t>
      </w:r>
    </w:p>
    <w:p>
      <w:pPr>
        <w:pStyle w:val="4"/>
        <w:widowControl/>
        <w:numPr>
          <w:ilvl w:val="0"/>
          <w:numId w:val="1"/>
        </w:numPr>
        <w:spacing w:line="600" w:lineRule="exact"/>
        <w:ind w:left="1360" w:hanging="720" w:firstLineChars="0"/>
        <w:rPr>
          <w:rFonts w:hint="eastAsia" w:ascii="黑体" w:hAnsi="宋体" w:eastAsia="黑体" w:cs="黑体"/>
          <w:kern w:val="2"/>
          <w:sz w:val="32"/>
          <w:szCs w:val="32"/>
        </w:rPr>
      </w:pPr>
      <w:r>
        <w:rPr>
          <w:rFonts w:hint="eastAsia" w:ascii="黑体" w:hAnsi="宋体" w:eastAsia="黑体" w:cs="黑体"/>
          <w:kern w:val="2"/>
          <w:sz w:val="32"/>
          <w:szCs w:val="32"/>
        </w:rPr>
        <w:t>总体要求</w:t>
      </w:r>
    </w:p>
    <w:p>
      <w:pPr>
        <w:keepNext w:val="0"/>
        <w:keepLines w:val="0"/>
        <w:widowControl w:val="0"/>
        <w:suppressLineNumbers w:val="0"/>
        <w:spacing w:before="0" w:beforeAutospacing="0" w:after="0" w:afterAutospacing="0" w:line="600" w:lineRule="exact"/>
        <w:ind w:left="0" w:right="0" w:firstLine="616" w:firstLineChars="200"/>
        <w:jc w:val="both"/>
        <w:rPr>
          <w:rFonts w:hint="eastAsia" w:ascii="仿宋_GB2312" w:hAnsi="宋体" w:eastAsia="仿宋_GB2312" w:cs="黑体"/>
          <w:kern w:val="2"/>
          <w:sz w:val="32"/>
          <w:szCs w:val="32"/>
        </w:rPr>
      </w:pPr>
      <w:r>
        <w:rPr>
          <w:rFonts w:hint="eastAsia" w:ascii="仿宋_GB2312" w:hAnsi="宋体" w:eastAsia="仿宋_GB2312" w:cs="仿宋_GB2312"/>
          <w:spacing w:val="-6"/>
          <w:kern w:val="2"/>
          <w:sz w:val="32"/>
          <w:szCs w:val="32"/>
          <w:lang w:val="en-US" w:eastAsia="zh-CN" w:bidi="ar"/>
        </w:rPr>
        <w:t>为贯彻落实公共资源交易领域优化营商环境要求，完善公共资源</w:t>
      </w:r>
      <w:r>
        <w:rPr>
          <w:rFonts w:hint="eastAsia" w:ascii="仿宋_GB2312" w:hAnsi="宋体" w:eastAsia="仿宋_GB2312" w:cs="黑体"/>
          <w:spacing w:val="-6"/>
          <w:kern w:val="2"/>
          <w:sz w:val="32"/>
          <w:szCs w:val="32"/>
          <w:lang w:val="en-US" w:eastAsia="zh-CN" w:bidi="ar"/>
        </w:rPr>
        <w:t>“一网交易”功能，推动实现全流程电子化交易，重点提升电子化支付、透明化服务水平，通过市公共资源交易平台</w:t>
      </w:r>
      <w:r>
        <w:rPr>
          <w:rFonts w:hint="eastAsia" w:ascii="仿宋_GB2312" w:hAnsi="仿宋" w:eastAsia="仿宋_GB2312" w:cs="仿宋_GB2312"/>
          <w:spacing w:val="-6"/>
          <w:kern w:val="2"/>
          <w:sz w:val="32"/>
          <w:szCs w:val="32"/>
          <w:lang w:val="en-US" w:eastAsia="zh-CN" w:bidi="ar"/>
        </w:rPr>
        <w:t>（以下简称</w:t>
      </w:r>
      <w:r>
        <w:rPr>
          <w:rFonts w:hint="eastAsia" w:ascii="仿宋_GB2312" w:hAnsi="仿宋" w:eastAsia="仿宋_GB2312" w:cs="仿宋"/>
          <w:spacing w:val="-6"/>
          <w:kern w:val="2"/>
          <w:sz w:val="32"/>
          <w:szCs w:val="32"/>
          <w:lang w:val="en-US" w:eastAsia="zh-CN" w:bidi="ar"/>
        </w:rPr>
        <w:t>“总平台”）</w:t>
      </w:r>
      <w:r>
        <w:rPr>
          <w:rFonts w:hint="eastAsia" w:ascii="仿宋_GB2312" w:hAnsi="宋体" w:eastAsia="仿宋_GB2312" w:cs="仿宋_GB2312"/>
          <w:spacing w:val="-6"/>
          <w:kern w:val="2"/>
          <w:sz w:val="32"/>
          <w:szCs w:val="32"/>
          <w:lang w:val="en-US" w:eastAsia="zh-CN" w:bidi="ar"/>
        </w:rPr>
        <w:t>与财政国库集中支付平台（以下简称</w:t>
      </w:r>
      <w:r>
        <w:rPr>
          <w:rFonts w:hint="eastAsia" w:ascii="仿宋_GB2312" w:hAnsi="宋体" w:eastAsia="仿宋_GB2312" w:cs="黑体"/>
          <w:spacing w:val="-6"/>
          <w:kern w:val="2"/>
          <w:sz w:val="32"/>
          <w:szCs w:val="32"/>
          <w:lang w:val="en-US" w:eastAsia="zh-CN" w:bidi="ar"/>
        </w:rPr>
        <w:t>“支付平台”）对接，实现</w:t>
      </w:r>
      <w:r>
        <w:rPr>
          <w:rFonts w:hint="eastAsia" w:ascii="仿宋_GB2312" w:hAnsi="仿宋" w:eastAsia="仿宋_GB2312" w:cs="仿宋_GB2312"/>
          <w:spacing w:val="-6"/>
          <w:kern w:val="2"/>
          <w:sz w:val="32"/>
          <w:szCs w:val="32"/>
          <w:lang w:val="en-US" w:eastAsia="zh-CN" w:bidi="ar"/>
        </w:rPr>
        <w:t>市公共资源交易平台及其分平台</w:t>
      </w:r>
      <w:r>
        <w:rPr>
          <w:rFonts w:hint="eastAsia" w:ascii="仿宋_GB2312" w:hAnsi="仿宋" w:eastAsia="仿宋_GB2312" w:cs="仿宋"/>
          <w:spacing w:val="-6"/>
          <w:kern w:val="2"/>
          <w:sz w:val="32"/>
          <w:szCs w:val="32"/>
          <w:lang w:val="en-US" w:eastAsia="zh-CN" w:bidi="ar"/>
        </w:rPr>
        <w:t xml:space="preserve"> (以下简称“分平台”)</w:t>
      </w:r>
      <w:r>
        <w:rPr>
          <w:rFonts w:hint="eastAsia" w:ascii="仿宋_GB2312" w:hAnsi="宋体" w:eastAsia="仿宋_GB2312" w:cs="仿宋_GB2312"/>
          <w:spacing w:val="-6"/>
          <w:kern w:val="2"/>
          <w:sz w:val="32"/>
          <w:szCs w:val="32"/>
          <w:lang w:val="en-US" w:eastAsia="zh-CN" w:bidi="ar"/>
        </w:rPr>
        <w:t>市级项目招投标和政府采购交易价款结算等结算和支付功能。</w:t>
      </w:r>
    </w:p>
    <w:p>
      <w:pPr>
        <w:pStyle w:val="4"/>
        <w:widowControl/>
        <w:numPr>
          <w:ilvl w:val="0"/>
          <w:numId w:val="1"/>
        </w:numPr>
        <w:spacing w:line="600" w:lineRule="exact"/>
        <w:ind w:left="1360" w:hanging="720" w:firstLineChars="0"/>
        <w:rPr>
          <w:rFonts w:hint="eastAsia" w:ascii="黑体" w:hAnsi="宋体" w:eastAsia="黑体" w:cs="黑体"/>
          <w:kern w:val="2"/>
          <w:sz w:val="32"/>
          <w:szCs w:val="32"/>
        </w:rPr>
      </w:pPr>
      <w:r>
        <w:rPr>
          <w:rFonts w:hint="eastAsia" w:ascii="黑体" w:hAnsi="宋体" w:eastAsia="黑体" w:cs="黑体"/>
          <w:kern w:val="2"/>
          <w:sz w:val="32"/>
          <w:szCs w:val="32"/>
        </w:rPr>
        <w:t>工作目标</w:t>
      </w:r>
    </w:p>
    <w:p>
      <w:pPr>
        <w:pStyle w:val="4"/>
        <w:widowControl/>
        <w:spacing w:line="600" w:lineRule="exact"/>
        <w:ind w:left="9" w:firstLine="671" w:firstLineChars="218"/>
        <w:rPr>
          <w:rFonts w:hint="eastAsia" w:ascii="仿宋_GB2312" w:hAnsi="仿宋" w:eastAsia="仿宋_GB2312" w:cs="仿宋"/>
          <w:kern w:val="2"/>
          <w:sz w:val="32"/>
          <w:szCs w:val="32"/>
        </w:rPr>
      </w:pPr>
      <w:r>
        <w:rPr>
          <w:rFonts w:hint="eastAsia" w:ascii="仿宋_GB2312" w:hAnsi="仿宋" w:eastAsia="仿宋_GB2312" w:cs="仿宋_GB2312"/>
          <w:kern w:val="2"/>
          <w:sz w:val="32"/>
          <w:szCs w:val="32"/>
        </w:rPr>
        <w:t>在总平台建立统一支付申请发起功能模块，通过总平台对接</w:t>
      </w:r>
      <w:r>
        <w:rPr>
          <w:rFonts w:hint="eastAsia" w:ascii="仿宋_GB2312" w:hAnsi="宋体" w:eastAsia="仿宋_GB2312" w:cs="仿宋_GB2312"/>
          <w:kern w:val="2"/>
          <w:sz w:val="32"/>
          <w:szCs w:val="32"/>
        </w:rPr>
        <w:t>支付平台</w:t>
      </w:r>
      <w:r>
        <w:rPr>
          <w:rFonts w:hint="eastAsia" w:ascii="仿宋_GB2312" w:hAnsi="仿宋" w:eastAsia="仿宋_GB2312" w:cs="仿宋_GB2312"/>
          <w:kern w:val="2"/>
          <w:sz w:val="32"/>
          <w:szCs w:val="32"/>
        </w:rPr>
        <w:t>，实现市场主体一口登录，为市场主体提供电子发票提交、发起支付申请、支付进度和支付结果查询服务，为相关政府部门提供支付审核、支付进度和支付信息展示服务。</w:t>
      </w:r>
    </w:p>
    <w:p>
      <w:pPr>
        <w:pStyle w:val="4"/>
        <w:widowControl/>
        <w:numPr>
          <w:ilvl w:val="0"/>
          <w:numId w:val="1"/>
        </w:numPr>
        <w:spacing w:line="600" w:lineRule="exact"/>
        <w:ind w:left="1360" w:hanging="720" w:firstLineChars="0"/>
        <w:rPr>
          <w:rFonts w:hint="eastAsia" w:ascii="黑体" w:hAnsi="宋体" w:eastAsia="黑体" w:cs="黑体"/>
          <w:kern w:val="2"/>
          <w:sz w:val="32"/>
          <w:szCs w:val="32"/>
        </w:rPr>
      </w:pPr>
      <w:r>
        <w:rPr>
          <w:rFonts w:hint="eastAsia" w:ascii="黑体" w:hAnsi="宋体" w:eastAsia="黑体" w:cs="黑体"/>
          <w:kern w:val="2"/>
          <w:sz w:val="32"/>
          <w:szCs w:val="32"/>
        </w:rPr>
        <w:t>工作阶段</w:t>
      </w:r>
    </w:p>
    <w:p>
      <w:pPr>
        <w:keepNext w:val="0"/>
        <w:keepLines w:val="0"/>
        <w:widowControl w:val="0"/>
        <w:suppressLineNumbers w:val="0"/>
        <w:spacing w:before="0" w:beforeAutospacing="0" w:after="0" w:afterAutospacing="0" w:line="600" w:lineRule="exact"/>
        <w:ind w:left="0" w:right="0"/>
        <w:jc w:val="both"/>
        <w:rPr>
          <w:rFonts w:hint="eastAsia" w:ascii="仿宋_GB2312" w:hAnsi="仿宋" w:eastAsia="仿宋_GB2312" w:cs="仿宋"/>
          <w:kern w:val="2"/>
          <w:sz w:val="32"/>
          <w:szCs w:val="32"/>
        </w:rPr>
      </w:pPr>
      <w:r>
        <w:rPr>
          <w:rFonts w:hint="eastAsia" w:ascii="仿宋_GB2312" w:hAnsi="仿宋" w:eastAsia="仿宋_GB2312" w:cs="仿宋"/>
          <w:spacing w:val="-6"/>
          <w:kern w:val="2"/>
          <w:sz w:val="32"/>
          <w:szCs w:val="32"/>
          <w:lang w:val="en-US" w:eastAsia="zh-CN" w:bidi="ar"/>
        </w:rPr>
        <w:t xml:space="preserve">    </w:t>
      </w:r>
      <w:r>
        <w:rPr>
          <w:rFonts w:hint="eastAsia" w:ascii="仿宋_GB2312" w:hAnsi="仿宋" w:eastAsia="仿宋_GB2312" w:cs="仿宋_GB2312"/>
          <w:spacing w:val="-6"/>
          <w:kern w:val="2"/>
          <w:sz w:val="32"/>
          <w:szCs w:val="32"/>
          <w:lang w:val="en-US" w:eastAsia="zh-CN" w:bidi="ar"/>
        </w:rPr>
        <w:t>为稳妥有序推进相关工作，方案分两个阶段实施。</w:t>
      </w:r>
    </w:p>
    <w:p>
      <w:pPr>
        <w:keepNext w:val="0"/>
        <w:keepLines w:val="0"/>
        <w:widowControl w:val="0"/>
        <w:suppressLineNumbers w:val="0"/>
        <w:spacing w:before="0" w:beforeAutospacing="0" w:after="0" w:afterAutospacing="0" w:line="600" w:lineRule="exact"/>
        <w:ind w:left="9" w:right="0" w:firstLine="575" w:firstLineChars="193"/>
        <w:jc w:val="both"/>
        <w:rPr>
          <w:rFonts w:hint="eastAsia" w:ascii="仿宋_GB2312" w:hAnsi="仿宋" w:eastAsia="仿宋_GB2312" w:cs="仿宋"/>
          <w:spacing w:val="-11"/>
          <w:kern w:val="2"/>
          <w:sz w:val="32"/>
          <w:szCs w:val="32"/>
        </w:rPr>
      </w:pPr>
      <w:r>
        <w:rPr>
          <w:rFonts w:hint="eastAsia" w:ascii="仿宋_GB2312" w:hAnsi="仿宋" w:eastAsia="仿宋_GB2312" w:cs="仿宋_GB2312"/>
          <w:spacing w:val="-11"/>
          <w:kern w:val="2"/>
          <w:sz w:val="32"/>
          <w:szCs w:val="32"/>
          <w:lang w:val="en-US" w:eastAsia="zh-CN" w:bidi="ar"/>
        </w:rPr>
        <w:t>第一阶段：</w:t>
      </w:r>
      <w:r>
        <w:rPr>
          <w:rFonts w:hint="eastAsia" w:ascii="仿宋_GB2312" w:hAnsi="仿宋" w:eastAsia="仿宋_GB2312" w:cs="仿宋"/>
          <w:spacing w:val="-11"/>
          <w:kern w:val="2"/>
          <w:sz w:val="32"/>
          <w:szCs w:val="32"/>
          <w:lang w:val="en-US" w:eastAsia="zh-CN" w:bidi="ar"/>
        </w:rPr>
        <w:t>2021年</w:t>
      </w:r>
      <w:r>
        <w:rPr>
          <w:rFonts w:hint="eastAsia" w:ascii="仿宋_GB2312" w:hAnsi="仿宋" w:cs="仿宋"/>
          <w:spacing w:val="-11"/>
          <w:kern w:val="2"/>
          <w:sz w:val="32"/>
          <w:szCs w:val="32"/>
          <w:lang w:val="en-US" w:eastAsia="zh-CN" w:bidi="ar"/>
        </w:rPr>
        <w:t>3月底</w:t>
      </w:r>
      <w:r>
        <w:rPr>
          <w:rFonts w:hint="eastAsia" w:ascii="仿宋_GB2312" w:hAnsi="仿宋" w:eastAsia="仿宋_GB2312" w:cs="仿宋"/>
          <w:spacing w:val="-11"/>
          <w:kern w:val="2"/>
          <w:sz w:val="32"/>
          <w:szCs w:val="32"/>
          <w:lang w:val="en-US" w:eastAsia="zh-CN" w:bidi="ar"/>
        </w:rPr>
        <w:t>完成市级公路养护工程项目功能对接。</w:t>
      </w:r>
    </w:p>
    <w:p>
      <w:pPr>
        <w:keepNext w:val="0"/>
        <w:keepLines w:val="0"/>
        <w:widowControl w:val="0"/>
        <w:suppressLineNumbers w:val="0"/>
        <w:spacing w:before="0" w:beforeAutospacing="0" w:after="0" w:afterAutospacing="0" w:line="600" w:lineRule="exact"/>
        <w:ind w:left="9" w:right="0" w:firstLine="671" w:firstLineChars="218"/>
        <w:jc w:val="both"/>
        <w:rPr>
          <w:rFonts w:hint="eastAsia" w:ascii="仿宋_GB2312" w:hAnsi="仿宋" w:eastAsia="仿宋_GB2312" w:cs="仿宋"/>
          <w:kern w:val="2"/>
          <w:sz w:val="32"/>
          <w:szCs w:val="32"/>
        </w:rPr>
      </w:pPr>
      <w:r>
        <w:rPr>
          <w:rFonts w:hint="eastAsia" w:ascii="仿宋_GB2312" w:hAnsi="仿宋" w:eastAsia="仿宋_GB2312" w:cs="仿宋_GB2312"/>
          <w:spacing w:val="-6"/>
          <w:kern w:val="2"/>
          <w:sz w:val="32"/>
          <w:szCs w:val="32"/>
          <w:lang w:val="en-US" w:eastAsia="zh-CN" w:bidi="ar"/>
        </w:rPr>
        <w:t>第二阶段：</w:t>
      </w:r>
      <w:r>
        <w:rPr>
          <w:rFonts w:hint="eastAsia" w:ascii="仿宋_GB2312" w:hAnsi="仿宋" w:eastAsia="仿宋_GB2312" w:cs="仿宋"/>
          <w:spacing w:val="-6"/>
          <w:kern w:val="2"/>
          <w:sz w:val="32"/>
          <w:szCs w:val="32"/>
          <w:lang w:val="en-US" w:eastAsia="zh-CN" w:bidi="ar"/>
        </w:rPr>
        <w:t>2021年年底前功能对接覆盖市、区两级的公路养护工程项目，再逐步扩展至市政道路养护工程。</w:t>
      </w:r>
    </w:p>
    <w:p>
      <w:pPr>
        <w:pStyle w:val="4"/>
        <w:widowControl/>
        <w:spacing w:line="600" w:lineRule="exact"/>
        <w:ind w:left="616" w:leftChars="200" w:firstLine="308" w:firstLineChars="100"/>
        <w:rPr>
          <w:rFonts w:hint="eastAsia" w:ascii="黑体" w:hAnsi="宋体" w:eastAsia="黑体" w:cs="黑体"/>
          <w:kern w:val="2"/>
          <w:sz w:val="32"/>
          <w:szCs w:val="32"/>
        </w:rPr>
      </w:pPr>
      <w:r>
        <w:rPr>
          <w:rFonts w:hint="eastAsia" w:ascii="黑体" w:hAnsi="宋体" w:eastAsia="黑体" w:cs="黑体"/>
          <w:kern w:val="2"/>
          <w:sz w:val="32"/>
          <w:szCs w:val="32"/>
        </w:rPr>
        <w:t>四、业务流程</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default" w:ascii="Calibri" w:hAnsi="Calibri" w:eastAsia="宋体" w:cs="Times New Roman"/>
          <w:spacing w:val="-6"/>
          <w:kern w:val="2"/>
          <w:sz w:val="21"/>
          <w:szCs w:val="21"/>
          <w:lang w:val="en-US" w:eastAsia="zh-CN" w:bidi="ar"/>
        </w:rPr>
        <w:fldChar w:fldCharType="begin"/>
      </w:r>
      <w:r>
        <w:rPr>
          <w:rFonts w:hint="default" w:ascii="Calibri" w:hAnsi="Calibri" w:eastAsia="宋体" w:cs="Times New Roman"/>
          <w:spacing w:val="-6"/>
          <w:kern w:val="2"/>
          <w:sz w:val="21"/>
          <w:szCs w:val="21"/>
          <w:lang w:val="en-US" w:eastAsia="zh-CN" w:bidi="ar"/>
        </w:rPr>
        <w:instrText xml:space="preserve">INCLUDEPICTURE \d "/tmp/wps-wangj3/ksohtml/wpsEdKFH7.jpg" \* MERGEFORMATINET </w:instrText>
      </w:r>
      <w:r>
        <w:rPr>
          <w:rFonts w:hint="default" w:ascii="Calibri" w:hAnsi="Calibri" w:eastAsia="宋体" w:cs="Times New Roman"/>
          <w:spacing w:val="-6"/>
          <w:kern w:val="2"/>
          <w:sz w:val="21"/>
          <w:szCs w:val="21"/>
          <w:lang w:val="en-US" w:eastAsia="zh-CN" w:bidi="ar"/>
        </w:rPr>
        <w:fldChar w:fldCharType="separate"/>
      </w:r>
      <w:r>
        <w:rPr>
          <w:rFonts w:hint="default" w:ascii="Calibri" w:hAnsi="Calibri" w:eastAsia="宋体" w:cs="Times New Roman"/>
          <w:spacing w:val="-6"/>
          <w:kern w:val="2"/>
          <w:sz w:val="21"/>
          <w:szCs w:val="21"/>
          <w:lang w:val="en-US" w:eastAsia="zh-CN" w:bidi="ar"/>
        </w:rPr>
        <w:drawing>
          <wp:inline distT="0" distB="0" distL="114300" distR="114300">
            <wp:extent cx="5276850" cy="33909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6850" cy="3390900"/>
                    </a:xfrm>
                    <a:prstGeom prst="rect">
                      <a:avLst/>
                    </a:prstGeom>
                    <a:noFill/>
                    <a:ln>
                      <a:noFill/>
                    </a:ln>
                  </pic:spPr>
                </pic:pic>
              </a:graphicData>
            </a:graphic>
          </wp:inline>
        </w:drawing>
      </w:r>
      <w:r>
        <w:rPr>
          <w:rFonts w:hint="default" w:ascii="Calibri" w:hAnsi="Calibri" w:eastAsia="宋体" w:cs="Times New Roman"/>
          <w:spacing w:val="-6"/>
          <w:kern w:val="2"/>
          <w:sz w:val="21"/>
          <w:szCs w:val="21"/>
          <w:lang w:val="en-US" w:eastAsia="zh-CN" w:bidi="ar"/>
        </w:rPr>
        <w:fldChar w:fldCharType="end"/>
      </w:r>
      <w:r>
        <w:rPr>
          <w:rFonts w:hint="eastAsia" w:ascii="仿宋_GB2312" w:hAnsi="Calibri" w:eastAsia="仿宋_GB2312" w:cs="仿宋_GB2312"/>
          <w:spacing w:val="-6"/>
          <w:kern w:val="2"/>
          <w:sz w:val="32"/>
          <w:szCs w:val="32"/>
          <w:lang w:val="en-US" w:eastAsia="zh-CN" w:bidi="ar"/>
        </w:rPr>
        <w:t xml:space="preserve"> </w:t>
      </w:r>
    </w:p>
    <w:p>
      <w:pPr>
        <w:pStyle w:val="4"/>
        <w:widowControl/>
        <w:ind w:left="0" w:firstLine="643"/>
        <w:jc w:val="center"/>
        <w:rPr>
          <w:rFonts w:hint="eastAsia" w:ascii="仿宋_GB2312" w:hAnsi="仿宋" w:eastAsia="仿宋_GB2312" w:cs="仿宋_GB2312"/>
          <w:b/>
          <w:kern w:val="2"/>
          <w:sz w:val="24"/>
          <w:szCs w:val="24"/>
        </w:rPr>
      </w:pPr>
      <w:r>
        <w:rPr>
          <w:rFonts w:hint="eastAsia" w:ascii="仿宋_GB2312" w:hAnsi="仿宋" w:eastAsia="仿宋_GB2312" w:cs="仿宋_GB2312"/>
          <w:b/>
          <w:kern w:val="2"/>
          <w:sz w:val="24"/>
          <w:szCs w:val="24"/>
        </w:rPr>
        <w:t>图 统一支付模块业务流程图</w:t>
      </w:r>
    </w:p>
    <w:p>
      <w:pPr>
        <w:pStyle w:val="4"/>
        <w:widowControl/>
        <w:numPr>
          <w:ilvl w:val="0"/>
          <w:numId w:val="2"/>
        </w:numPr>
        <w:spacing w:line="580" w:lineRule="exact"/>
        <w:ind w:left="0" w:firstLine="707" w:firstLineChars="0"/>
        <w:rPr>
          <w:rFonts w:hint="eastAsia" w:ascii="仿宋_GB2312" w:eastAsia="仿宋_GB2312" w:cs="仿宋_GB2312"/>
          <w:kern w:val="2"/>
          <w:sz w:val="32"/>
          <w:szCs w:val="32"/>
        </w:rPr>
      </w:pPr>
      <w:r>
        <w:rPr>
          <w:rFonts w:hint="eastAsia" w:ascii="仿宋_GB2312" w:eastAsia="仿宋_GB2312" w:cs="仿宋_GB2312"/>
          <w:kern w:val="2"/>
          <w:sz w:val="32"/>
          <w:szCs w:val="32"/>
        </w:rPr>
        <w:t>统一登录：市场主体在总平台完成注册和登录，总平台与分平台打通共享注册市场主体信息。</w:t>
      </w:r>
    </w:p>
    <w:p>
      <w:pPr>
        <w:pStyle w:val="4"/>
        <w:widowControl/>
        <w:numPr>
          <w:ilvl w:val="0"/>
          <w:numId w:val="2"/>
        </w:numPr>
        <w:spacing w:line="580" w:lineRule="exact"/>
        <w:ind w:left="0" w:firstLine="707" w:firstLineChars="0"/>
        <w:rPr>
          <w:rFonts w:hint="eastAsia" w:ascii="仿宋_GB2312" w:eastAsia="仿宋_GB2312" w:cs="仿宋_GB2312"/>
          <w:kern w:val="2"/>
          <w:sz w:val="32"/>
          <w:szCs w:val="32"/>
        </w:rPr>
      </w:pPr>
      <w:r>
        <w:rPr>
          <w:rFonts w:hint="eastAsia" w:ascii="仿宋_GB2312" w:eastAsia="仿宋_GB2312" w:cs="仿宋_GB2312"/>
          <w:kern w:val="2"/>
          <w:sz w:val="32"/>
          <w:szCs w:val="32"/>
        </w:rPr>
        <w:t xml:space="preserve">完成交易：市场主体通过总平台无感跳转到分平台完成递交申请、确认中标、在线合同签订等交易流程。分平台将交易结果相关信息同步至总平台。 </w:t>
      </w:r>
    </w:p>
    <w:p>
      <w:pPr>
        <w:pStyle w:val="4"/>
        <w:widowControl/>
        <w:numPr>
          <w:ilvl w:val="0"/>
          <w:numId w:val="2"/>
        </w:numPr>
        <w:spacing w:line="580" w:lineRule="exact"/>
        <w:ind w:left="0" w:firstLine="707" w:firstLineChars="0"/>
        <w:rPr>
          <w:rFonts w:hint="eastAsia" w:ascii="仿宋_GB2312" w:eastAsia="仿宋_GB2312" w:cs="仿宋_GB2312"/>
          <w:kern w:val="2"/>
          <w:sz w:val="32"/>
          <w:szCs w:val="32"/>
        </w:rPr>
      </w:pPr>
      <w:r>
        <w:rPr>
          <w:rFonts w:hint="eastAsia" w:ascii="仿宋_GB2312" w:eastAsia="仿宋_GB2312" w:cs="仿宋_GB2312"/>
          <w:kern w:val="2"/>
          <w:sz w:val="32"/>
          <w:szCs w:val="32"/>
        </w:rPr>
        <w:t>发起支付申请：市场主体在总平台或从分平台无感跳转至总平台发起支付申请，上传电子发票或发票扫描件。</w:t>
      </w:r>
    </w:p>
    <w:p>
      <w:pPr>
        <w:pStyle w:val="4"/>
        <w:widowControl/>
        <w:numPr>
          <w:ilvl w:val="0"/>
          <w:numId w:val="2"/>
        </w:numPr>
        <w:spacing w:line="580" w:lineRule="exact"/>
        <w:ind w:left="0" w:firstLine="707" w:firstLineChars="0"/>
        <w:rPr>
          <w:rFonts w:hint="eastAsia" w:ascii="仿宋_GB2312" w:eastAsia="仿宋_GB2312" w:cs="仿宋_GB2312"/>
          <w:kern w:val="2"/>
          <w:sz w:val="32"/>
          <w:szCs w:val="32"/>
        </w:rPr>
      </w:pPr>
      <w:r>
        <w:rPr>
          <w:rFonts w:hint="eastAsia" w:ascii="仿宋_GB2312" w:eastAsia="仿宋_GB2312" w:cs="仿宋_GB2312"/>
          <w:kern w:val="2"/>
          <w:sz w:val="32"/>
          <w:szCs w:val="32"/>
        </w:rPr>
        <w:t>招标人审核支付申请：招标人在总平台或从分平台无感跳转至总平台审核支付申请。总平台将审核通过的支付申请推送至行业主管部门，未审核通过的通知市场主体。</w:t>
      </w:r>
    </w:p>
    <w:p>
      <w:pPr>
        <w:pStyle w:val="4"/>
        <w:widowControl/>
        <w:numPr>
          <w:ilvl w:val="0"/>
          <w:numId w:val="2"/>
        </w:numPr>
        <w:spacing w:line="580" w:lineRule="exact"/>
        <w:ind w:left="0" w:firstLine="707" w:firstLineChars="0"/>
        <w:rPr>
          <w:rFonts w:hint="eastAsia" w:ascii="仿宋_GB2312" w:eastAsia="仿宋_GB2312" w:cs="仿宋_GB2312"/>
          <w:kern w:val="2"/>
          <w:sz w:val="32"/>
          <w:szCs w:val="32"/>
        </w:rPr>
      </w:pPr>
      <w:r>
        <w:rPr>
          <w:rFonts w:hint="eastAsia" w:ascii="仿宋_GB2312" w:eastAsia="仿宋_GB2312" w:cs="仿宋_GB2312"/>
          <w:kern w:val="2"/>
          <w:sz w:val="32"/>
          <w:szCs w:val="32"/>
        </w:rPr>
        <w:t>行业主管部门审核支付申请：行业主管部门在支付平台审核支付申请，审核通过的提交至资金支付部门，未审核通过的退回总平台，总平台通知招标人及市场主体。</w:t>
      </w:r>
    </w:p>
    <w:p>
      <w:pPr>
        <w:pStyle w:val="4"/>
        <w:widowControl/>
        <w:numPr>
          <w:ilvl w:val="0"/>
          <w:numId w:val="2"/>
        </w:numPr>
        <w:spacing w:line="580" w:lineRule="exact"/>
        <w:ind w:left="0" w:firstLine="707" w:firstLineChars="0"/>
        <w:rPr>
          <w:rFonts w:hint="eastAsia" w:ascii="仿宋_GB2312" w:eastAsia="仿宋_GB2312" w:cs="仿宋_GB2312"/>
          <w:kern w:val="2"/>
          <w:sz w:val="32"/>
          <w:szCs w:val="32"/>
        </w:rPr>
      </w:pPr>
      <w:r>
        <w:rPr>
          <w:rFonts w:hint="eastAsia" w:ascii="仿宋_GB2312" w:eastAsia="仿宋_GB2312" w:cs="仿宋_GB2312"/>
          <w:kern w:val="2"/>
          <w:sz w:val="32"/>
          <w:szCs w:val="32"/>
        </w:rPr>
        <w:t>资金支付</w:t>
      </w:r>
      <w:r>
        <w:rPr>
          <w:rFonts w:hint="eastAsia" w:ascii="仿宋_GB2312" w:eastAsia="仿宋_GB2312" w:cs="仿宋_GB2312"/>
          <w:kern w:val="2"/>
          <w:sz w:val="32"/>
          <w:szCs w:val="32"/>
          <w:lang w:val="en-US" w:eastAsia="zh-CN"/>
        </w:rPr>
        <w:t>:</w:t>
      </w:r>
      <w:r>
        <w:rPr>
          <w:rFonts w:hint="eastAsia" w:ascii="仿宋_GB2312" w:eastAsia="仿宋_GB2312" w:cs="仿宋_GB2312"/>
          <w:kern w:val="2"/>
          <w:sz w:val="32"/>
          <w:szCs w:val="32"/>
        </w:rPr>
        <w:t>按照财政国库集中支付相关业务规定完成支付。未通过的退回行业主管部门，完成支付的将支付信息推送至总平台。</w:t>
      </w:r>
    </w:p>
    <w:p>
      <w:pPr>
        <w:pStyle w:val="4"/>
        <w:widowControl/>
        <w:numPr>
          <w:ilvl w:val="0"/>
          <w:numId w:val="2"/>
        </w:numPr>
        <w:spacing w:line="580" w:lineRule="exact"/>
        <w:ind w:left="0" w:firstLine="707" w:firstLineChars="0"/>
        <w:rPr>
          <w:rFonts w:hint="eastAsia" w:ascii="仿宋_GB2312" w:eastAsia="仿宋_GB2312" w:cs="仿宋_GB2312"/>
          <w:kern w:val="2"/>
          <w:sz w:val="32"/>
          <w:szCs w:val="32"/>
        </w:rPr>
      </w:pPr>
      <w:r>
        <w:rPr>
          <w:rFonts w:hint="eastAsia" w:ascii="仿宋_GB2312" w:eastAsia="仿宋_GB2312" w:cs="仿宋_GB2312"/>
          <w:kern w:val="2"/>
          <w:sz w:val="32"/>
          <w:szCs w:val="32"/>
        </w:rPr>
        <w:t>查看支付进度：市场主体在总平台或从分平台无感跳转至总平台查看支付申请和拨付进度。</w:t>
      </w:r>
    </w:p>
    <w:p>
      <w:pPr>
        <w:keepNext w:val="0"/>
        <w:keepLines w:val="0"/>
        <w:widowControl w:val="0"/>
        <w:suppressLineNumbers w:val="0"/>
        <w:spacing w:before="0" w:beforeAutospacing="0" w:after="0" w:afterAutospacing="0" w:line="580" w:lineRule="exact"/>
        <w:ind w:left="0" w:right="0"/>
        <w:jc w:val="both"/>
        <w:rPr>
          <w:rFonts w:hint="eastAsia" w:ascii="黑体" w:hAnsi="宋体" w:eastAsia="黑体" w:cs="黑体"/>
          <w:kern w:val="2"/>
          <w:sz w:val="32"/>
          <w:szCs w:val="32"/>
        </w:rPr>
      </w:pPr>
      <w:r>
        <w:rPr>
          <w:rFonts w:hint="eastAsia" w:ascii="黑体" w:hAnsi="宋体" w:eastAsia="黑体" w:cs="黑体"/>
          <w:spacing w:val="-6"/>
          <w:kern w:val="2"/>
          <w:sz w:val="32"/>
          <w:szCs w:val="32"/>
          <w:lang w:val="en-US" w:eastAsia="zh-CN" w:bidi="ar"/>
        </w:rPr>
        <w:t xml:space="preserve">    五、主要任务</w:t>
      </w:r>
    </w:p>
    <w:p>
      <w:pPr>
        <w:pStyle w:val="4"/>
        <w:widowControl/>
        <w:spacing w:line="580" w:lineRule="exact"/>
        <w:ind w:left="0" w:firstLine="640"/>
        <w:rPr>
          <w:rFonts w:hint="eastAsia" w:ascii="仿宋_GB2312" w:eastAsia="仿宋_GB2312" w:cs="仿宋_GB2312"/>
          <w:kern w:val="2"/>
          <w:sz w:val="32"/>
          <w:szCs w:val="32"/>
        </w:rPr>
      </w:pPr>
      <w:r>
        <w:rPr>
          <w:rFonts w:hint="eastAsia" w:ascii="仿宋_GB2312" w:eastAsia="仿宋_GB2312" w:cs="仿宋_GB2312"/>
          <w:kern w:val="2"/>
          <w:sz w:val="32"/>
          <w:szCs w:val="32"/>
        </w:rPr>
        <w:t>实现</w:t>
      </w:r>
      <w:r>
        <w:rPr>
          <w:rFonts w:hint="eastAsia" w:ascii="仿宋_GB2312" w:hAnsi="仿宋" w:eastAsia="仿宋_GB2312" w:cs="仿宋_GB2312"/>
          <w:kern w:val="2"/>
          <w:sz w:val="32"/>
          <w:szCs w:val="32"/>
        </w:rPr>
        <w:t>公路养护工程项目在线发票提交、支付审核、支付进度和结果查询等功能，完成</w:t>
      </w:r>
      <w:r>
        <w:rPr>
          <w:rFonts w:hint="eastAsia" w:ascii="仿宋_GB2312" w:eastAsia="仿宋_GB2312" w:cs="仿宋_GB2312"/>
          <w:kern w:val="2"/>
          <w:sz w:val="32"/>
          <w:szCs w:val="32"/>
        </w:rPr>
        <w:t>总平台、分平台、支付平台系统功能开发、联调测试、上线运行等工作。</w:t>
      </w:r>
    </w:p>
    <w:p>
      <w:pPr>
        <w:keepNext w:val="0"/>
        <w:keepLines w:val="0"/>
        <w:widowControl w:val="0"/>
        <w:suppressLineNumbers w:val="0"/>
        <w:spacing w:before="0" w:beforeAutospacing="0" w:after="0" w:afterAutospacing="0" w:line="580" w:lineRule="exact"/>
        <w:ind w:left="0" w:right="0" w:firstLine="616" w:firstLineChars="200"/>
        <w:jc w:val="both"/>
        <w:rPr>
          <w:rFonts w:hint="eastAsia" w:ascii="仿宋_GB2312" w:eastAsia="仿宋_GB2312" w:cs="仿宋_GB2312"/>
          <w:kern w:val="2"/>
          <w:sz w:val="32"/>
          <w:szCs w:val="32"/>
        </w:rPr>
      </w:pPr>
      <w:r>
        <w:rPr>
          <w:rFonts w:hint="eastAsia" w:ascii="仿宋_GB2312" w:hAnsi="Calibri" w:eastAsia="仿宋_GB2312" w:cs="仿宋_GB2312"/>
          <w:spacing w:val="-6"/>
          <w:kern w:val="2"/>
          <w:sz w:val="32"/>
          <w:szCs w:val="32"/>
          <w:lang w:val="en-US" w:eastAsia="zh-CN" w:bidi="ar"/>
        </w:rPr>
        <w:t>1、制定总平台与支付平台、分平台对接数据标准规范，2021年3月</w:t>
      </w:r>
      <w:r>
        <w:rPr>
          <w:rFonts w:hint="eastAsia" w:ascii="仿宋_GB2312" w:hAnsi="Calibri" w:cs="仿宋_GB2312"/>
          <w:spacing w:val="-6"/>
          <w:kern w:val="2"/>
          <w:sz w:val="32"/>
          <w:szCs w:val="32"/>
          <w:lang w:val="en-US" w:eastAsia="zh-CN" w:bidi="ar"/>
        </w:rPr>
        <w:t>上旬</w:t>
      </w:r>
      <w:r>
        <w:rPr>
          <w:rFonts w:hint="eastAsia" w:ascii="仿宋_GB2312" w:hAnsi="Calibri" w:eastAsia="仿宋_GB2312" w:cs="仿宋_GB2312"/>
          <w:spacing w:val="-6"/>
          <w:kern w:val="2"/>
          <w:sz w:val="32"/>
          <w:szCs w:val="32"/>
          <w:lang w:val="en-US" w:eastAsia="zh-CN" w:bidi="ar"/>
        </w:rPr>
        <w:t>完成。（市财政局、</w:t>
      </w:r>
      <w:r>
        <w:rPr>
          <w:rFonts w:hint="eastAsia" w:ascii="仿宋_GB2312" w:hAnsi="仿宋" w:eastAsia="仿宋_GB2312" w:cs="仿宋_GB2312"/>
          <w:spacing w:val="-6"/>
          <w:kern w:val="2"/>
          <w:sz w:val="32"/>
          <w:szCs w:val="32"/>
          <w:lang w:val="en-US" w:eastAsia="zh-CN" w:bidi="ar"/>
        </w:rPr>
        <w:t>市住房城乡建设管理委、市交通委、</w:t>
      </w:r>
      <w:r>
        <w:rPr>
          <w:rFonts w:hint="eastAsia" w:ascii="仿宋_GB2312" w:hAnsi="Calibri" w:eastAsia="仿宋_GB2312" w:cs="仿宋_GB2312"/>
          <w:spacing w:val="-6"/>
          <w:kern w:val="2"/>
          <w:sz w:val="32"/>
          <w:szCs w:val="32"/>
          <w:lang w:val="en-US" w:eastAsia="zh-CN" w:bidi="ar"/>
        </w:rPr>
        <w:t>市公共资源交易中心及建设工程招投标分中心、政府采购分中心）</w:t>
      </w:r>
    </w:p>
    <w:p>
      <w:pPr>
        <w:keepNext w:val="0"/>
        <w:keepLines w:val="0"/>
        <w:widowControl w:val="0"/>
        <w:suppressLineNumbers w:val="0"/>
        <w:spacing w:before="0" w:beforeAutospacing="0" w:after="0" w:afterAutospacing="0" w:line="580" w:lineRule="exact"/>
        <w:ind w:left="0" w:right="0" w:firstLine="616" w:firstLineChars="200"/>
        <w:jc w:val="both"/>
        <w:rPr>
          <w:rFonts w:hint="eastAsia" w:ascii="仿宋_GB2312" w:eastAsia="仿宋_GB2312" w:cs="仿宋_GB2312"/>
          <w:kern w:val="2"/>
          <w:sz w:val="32"/>
          <w:szCs w:val="32"/>
        </w:rPr>
      </w:pPr>
      <w:r>
        <w:rPr>
          <w:rFonts w:hint="eastAsia" w:ascii="仿宋_GB2312" w:hAnsi="Calibri" w:eastAsia="仿宋_GB2312" w:cs="仿宋_GB2312"/>
          <w:spacing w:val="-6"/>
          <w:kern w:val="2"/>
          <w:sz w:val="32"/>
          <w:szCs w:val="32"/>
          <w:lang w:val="en-US" w:eastAsia="zh-CN" w:bidi="ar"/>
        </w:rPr>
        <w:t>2、完成功能开发建设，2021年</w:t>
      </w:r>
      <w:r>
        <w:rPr>
          <w:rFonts w:hint="eastAsia" w:ascii="仿宋_GB2312" w:hAnsi="Calibri" w:cs="仿宋_GB2312"/>
          <w:spacing w:val="-6"/>
          <w:kern w:val="2"/>
          <w:sz w:val="32"/>
          <w:szCs w:val="32"/>
          <w:lang w:val="en-US" w:eastAsia="zh-CN" w:bidi="ar"/>
        </w:rPr>
        <w:t>3</w:t>
      </w:r>
      <w:r>
        <w:rPr>
          <w:rFonts w:hint="eastAsia" w:ascii="仿宋_GB2312" w:hAnsi="Calibri" w:eastAsia="仿宋_GB2312" w:cs="仿宋_GB2312"/>
          <w:spacing w:val="-6"/>
          <w:kern w:val="2"/>
          <w:sz w:val="32"/>
          <w:szCs w:val="32"/>
          <w:lang w:val="en-US" w:eastAsia="zh-CN" w:bidi="ar"/>
        </w:rPr>
        <w:t>月</w:t>
      </w:r>
      <w:r>
        <w:rPr>
          <w:rFonts w:hint="eastAsia" w:ascii="仿宋_GB2312" w:hAnsi="Calibri" w:cs="仿宋_GB2312"/>
          <w:spacing w:val="-6"/>
          <w:kern w:val="2"/>
          <w:sz w:val="32"/>
          <w:szCs w:val="32"/>
          <w:lang w:val="en-US" w:eastAsia="zh-CN" w:bidi="ar"/>
        </w:rPr>
        <w:t>中旬</w:t>
      </w:r>
      <w:r>
        <w:rPr>
          <w:rFonts w:hint="eastAsia" w:ascii="仿宋_GB2312" w:hAnsi="Calibri" w:eastAsia="仿宋_GB2312" w:cs="仿宋_GB2312"/>
          <w:spacing w:val="-6"/>
          <w:kern w:val="2"/>
          <w:sz w:val="32"/>
          <w:szCs w:val="32"/>
          <w:lang w:val="en-US" w:eastAsia="zh-CN" w:bidi="ar"/>
        </w:rPr>
        <w:t>完成。（市公共资源交易中心、市财政局、</w:t>
      </w:r>
      <w:r>
        <w:rPr>
          <w:rFonts w:hint="eastAsia" w:ascii="仿宋_GB2312" w:hAnsi="仿宋" w:eastAsia="仿宋_GB2312" w:cs="仿宋_GB2312"/>
          <w:spacing w:val="-6"/>
          <w:kern w:val="2"/>
          <w:sz w:val="32"/>
          <w:szCs w:val="32"/>
          <w:lang w:val="en-US" w:eastAsia="zh-CN" w:bidi="ar"/>
        </w:rPr>
        <w:t>市住房城乡建设管理委、市公共资源交易中心</w:t>
      </w:r>
      <w:r>
        <w:rPr>
          <w:rFonts w:hint="eastAsia" w:ascii="仿宋_GB2312" w:hAnsi="Calibri" w:eastAsia="仿宋_GB2312" w:cs="仿宋_GB2312"/>
          <w:spacing w:val="-6"/>
          <w:kern w:val="2"/>
          <w:sz w:val="32"/>
          <w:szCs w:val="32"/>
          <w:lang w:val="en-US" w:eastAsia="zh-CN" w:bidi="ar"/>
        </w:rPr>
        <w:t>建设工程招投标分中心、政府采购分中心）</w:t>
      </w:r>
    </w:p>
    <w:p>
      <w:pPr>
        <w:keepNext w:val="0"/>
        <w:keepLines w:val="0"/>
        <w:widowControl w:val="0"/>
        <w:suppressLineNumbers w:val="0"/>
        <w:spacing w:before="0" w:beforeAutospacing="0" w:after="0" w:afterAutospacing="0" w:line="580" w:lineRule="exact"/>
        <w:ind w:left="0" w:right="0" w:firstLine="616" w:firstLineChars="200"/>
        <w:jc w:val="both"/>
        <w:rPr>
          <w:rFonts w:hint="eastAsia" w:ascii="仿宋_GB2312" w:eastAsia="仿宋_GB2312" w:cs="仿宋_GB2312"/>
          <w:kern w:val="2"/>
          <w:sz w:val="32"/>
          <w:szCs w:val="32"/>
        </w:rPr>
      </w:pPr>
      <w:r>
        <w:rPr>
          <w:rFonts w:hint="eastAsia" w:ascii="仿宋_GB2312" w:hAnsi="Calibri" w:eastAsia="仿宋_GB2312" w:cs="仿宋_GB2312"/>
          <w:spacing w:val="-6"/>
          <w:kern w:val="2"/>
          <w:sz w:val="32"/>
          <w:szCs w:val="32"/>
          <w:lang w:val="en-US" w:eastAsia="zh-CN" w:bidi="ar"/>
        </w:rPr>
        <w:t>3、完成</w:t>
      </w:r>
      <w:r>
        <w:rPr>
          <w:rFonts w:hint="eastAsia" w:ascii="仿宋_GB2312" w:hAnsi="Calibri" w:cs="仿宋_GB2312"/>
          <w:spacing w:val="-6"/>
          <w:kern w:val="2"/>
          <w:sz w:val="32"/>
          <w:szCs w:val="32"/>
          <w:lang w:val="en-US" w:eastAsia="zh-CN" w:bidi="ar"/>
        </w:rPr>
        <w:t>总平台与支付平台功能对接上线并开展</w:t>
      </w:r>
      <w:r>
        <w:rPr>
          <w:rFonts w:hint="eastAsia" w:ascii="仿宋_GB2312" w:hAnsi="Calibri" w:eastAsia="仿宋_GB2312" w:cs="仿宋_GB2312"/>
          <w:spacing w:val="-6"/>
          <w:kern w:val="2"/>
          <w:sz w:val="32"/>
          <w:szCs w:val="32"/>
          <w:lang w:val="en-US" w:eastAsia="zh-CN" w:bidi="ar"/>
        </w:rPr>
        <w:t>集中测试，2021年</w:t>
      </w:r>
      <w:r>
        <w:rPr>
          <w:rFonts w:hint="eastAsia" w:ascii="仿宋_GB2312" w:hAnsi="Calibri" w:cs="仿宋_GB2312"/>
          <w:spacing w:val="-6"/>
          <w:kern w:val="2"/>
          <w:sz w:val="32"/>
          <w:szCs w:val="32"/>
          <w:lang w:val="en-US" w:eastAsia="zh-CN" w:bidi="ar"/>
        </w:rPr>
        <w:t>3</w:t>
      </w:r>
      <w:r>
        <w:rPr>
          <w:rFonts w:hint="eastAsia" w:ascii="仿宋_GB2312" w:hAnsi="Calibri" w:eastAsia="仿宋_GB2312" w:cs="仿宋_GB2312"/>
          <w:spacing w:val="-6"/>
          <w:kern w:val="2"/>
          <w:sz w:val="32"/>
          <w:szCs w:val="32"/>
          <w:lang w:val="en-US" w:eastAsia="zh-CN" w:bidi="ar"/>
        </w:rPr>
        <w:t>月</w:t>
      </w:r>
      <w:r>
        <w:rPr>
          <w:rFonts w:hint="eastAsia" w:ascii="仿宋_GB2312" w:hAnsi="Calibri" w:cs="仿宋_GB2312"/>
          <w:spacing w:val="-6"/>
          <w:kern w:val="2"/>
          <w:sz w:val="32"/>
          <w:szCs w:val="32"/>
          <w:lang w:val="en-US" w:eastAsia="zh-CN" w:bidi="ar"/>
        </w:rPr>
        <w:t>下旬</w:t>
      </w:r>
      <w:r>
        <w:rPr>
          <w:rFonts w:hint="eastAsia" w:ascii="仿宋_GB2312" w:hAnsi="Calibri" w:eastAsia="仿宋_GB2312" w:cs="仿宋_GB2312"/>
          <w:spacing w:val="-6"/>
          <w:kern w:val="2"/>
          <w:sz w:val="32"/>
          <w:szCs w:val="32"/>
          <w:lang w:val="en-US" w:eastAsia="zh-CN" w:bidi="ar"/>
        </w:rPr>
        <w:t>完成。（市财政局、</w:t>
      </w:r>
      <w:r>
        <w:rPr>
          <w:rFonts w:hint="eastAsia" w:ascii="仿宋_GB2312" w:hAnsi="仿宋" w:eastAsia="仿宋_GB2312" w:cs="仿宋_GB2312"/>
          <w:spacing w:val="-6"/>
          <w:kern w:val="2"/>
          <w:sz w:val="32"/>
          <w:szCs w:val="32"/>
          <w:lang w:val="en-US" w:eastAsia="zh-CN" w:bidi="ar"/>
        </w:rPr>
        <w:t>市住房城乡建设管理委、</w:t>
      </w:r>
      <w:r>
        <w:rPr>
          <w:rFonts w:hint="eastAsia" w:ascii="仿宋_GB2312" w:hAnsi="Calibri" w:eastAsia="仿宋_GB2312" w:cs="仿宋_GB2312"/>
          <w:spacing w:val="-6"/>
          <w:kern w:val="2"/>
          <w:sz w:val="32"/>
          <w:szCs w:val="32"/>
          <w:lang w:val="en-US" w:eastAsia="zh-CN" w:bidi="ar"/>
        </w:rPr>
        <w:t>市公共资源交易中心及建设工程招投标分中心、政府采购分中心）</w:t>
      </w:r>
    </w:p>
    <w:p>
      <w:pPr>
        <w:keepNext w:val="0"/>
        <w:keepLines w:val="0"/>
        <w:widowControl w:val="0"/>
        <w:suppressLineNumbers w:val="0"/>
        <w:spacing w:before="0" w:beforeAutospacing="0" w:after="0" w:afterAutospacing="0" w:line="580" w:lineRule="exact"/>
        <w:ind w:left="0" w:right="0" w:firstLine="616" w:firstLineChars="200"/>
        <w:jc w:val="both"/>
        <w:rPr>
          <w:rFonts w:hint="eastAsia" w:ascii="仿宋_GB2312" w:eastAsia="仿宋_GB2312" w:cs="仿宋_GB2312"/>
          <w:kern w:val="2"/>
          <w:sz w:val="32"/>
          <w:szCs w:val="32"/>
        </w:rPr>
      </w:pPr>
      <w:r>
        <w:rPr>
          <w:rFonts w:hint="eastAsia" w:ascii="仿宋_GB2312" w:hAnsi="Calibri" w:eastAsia="仿宋_GB2312" w:cs="仿宋_GB2312"/>
          <w:spacing w:val="-6"/>
          <w:kern w:val="2"/>
          <w:sz w:val="32"/>
          <w:szCs w:val="32"/>
          <w:lang w:val="en-US" w:eastAsia="zh-CN" w:bidi="ar"/>
        </w:rPr>
        <w:t>4、总平台与支付平台对接模块试运行，2021年</w:t>
      </w:r>
      <w:r>
        <w:rPr>
          <w:rFonts w:hint="eastAsia" w:ascii="仿宋_GB2312" w:hAnsi="Calibri" w:cs="仿宋_GB2312"/>
          <w:spacing w:val="-6"/>
          <w:kern w:val="2"/>
          <w:sz w:val="32"/>
          <w:szCs w:val="32"/>
          <w:lang w:val="en-US" w:eastAsia="zh-CN" w:bidi="ar"/>
        </w:rPr>
        <w:t>4</w:t>
      </w:r>
      <w:r>
        <w:rPr>
          <w:rFonts w:hint="eastAsia" w:ascii="仿宋_GB2312" w:hAnsi="Calibri" w:eastAsia="仿宋_GB2312" w:cs="仿宋_GB2312"/>
          <w:spacing w:val="-6"/>
          <w:kern w:val="2"/>
          <w:sz w:val="32"/>
          <w:szCs w:val="32"/>
          <w:lang w:val="en-US" w:eastAsia="zh-CN" w:bidi="ar"/>
        </w:rPr>
        <w:t>月完成。（市公共资源交易中心、市财政局、</w:t>
      </w:r>
      <w:r>
        <w:rPr>
          <w:rFonts w:hint="eastAsia" w:ascii="仿宋_GB2312" w:hAnsi="仿宋" w:eastAsia="仿宋_GB2312" w:cs="仿宋_GB2312"/>
          <w:spacing w:val="-6"/>
          <w:kern w:val="2"/>
          <w:sz w:val="32"/>
          <w:szCs w:val="32"/>
          <w:lang w:val="en-US" w:eastAsia="zh-CN" w:bidi="ar"/>
        </w:rPr>
        <w:t>市住房城乡建设管理委、</w:t>
      </w:r>
      <w:r>
        <w:rPr>
          <w:rFonts w:hint="eastAsia" w:ascii="仿宋_GB2312" w:hAnsi="Calibri" w:eastAsia="仿宋_GB2312" w:cs="仿宋_GB2312"/>
          <w:spacing w:val="-6"/>
          <w:kern w:val="2"/>
          <w:sz w:val="32"/>
          <w:szCs w:val="32"/>
          <w:lang w:val="en-US" w:eastAsia="zh-CN" w:bidi="ar"/>
        </w:rPr>
        <w:t>市交通委、</w:t>
      </w:r>
      <w:r>
        <w:rPr>
          <w:rFonts w:hint="eastAsia" w:ascii="仿宋_GB2312" w:hAnsi="仿宋" w:eastAsia="仿宋_GB2312" w:cs="仿宋_GB2312"/>
          <w:spacing w:val="-6"/>
          <w:kern w:val="2"/>
          <w:sz w:val="32"/>
          <w:szCs w:val="32"/>
          <w:lang w:val="en-US" w:eastAsia="zh-CN" w:bidi="ar"/>
        </w:rPr>
        <w:t>市公共资源交易中心</w:t>
      </w:r>
      <w:r>
        <w:rPr>
          <w:rFonts w:hint="eastAsia" w:ascii="仿宋_GB2312" w:hAnsi="Calibri" w:eastAsia="仿宋_GB2312" w:cs="仿宋_GB2312"/>
          <w:spacing w:val="-6"/>
          <w:kern w:val="2"/>
          <w:sz w:val="32"/>
          <w:szCs w:val="32"/>
          <w:lang w:val="en-US" w:eastAsia="zh-CN" w:bidi="ar"/>
        </w:rPr>
        <w:t>建设工程招投标分中心、政府采购分中心）</w:t>
      </w:r>
    </w:p>
    <w:p>
      <w:pPr>
        <w:keepNext w:val="0"/>
        <w:keepLines w:val="0"/>
        <w:widowControl w:val="0"/>
        <w:suppressLineNumbers w:val="0"/>
        <w:spacing w:before="0" w:beforeAutospacing="0" w:after="0" w:afterAutospacing="0" w:line="580" w:lineRule="exact"/>
        <w:ind w:left="0" w:right="0" w:firstLine="616" w:firstLineChars="200"/>
        <w:jc w:val="both"/>
        <w:rPr>
          <w:rFonts w:hint="eastAsia" w:ascii="仿宋_GB2312" w:eastAsia="仿宋_GB2312" w:cs="仿宋_GB2312"/>
          <w:kern w:val="2"/>
          <w:sz w:val="32"/>
          <w:szCs w:val="32"/>
        </w:rPr>
      </w:pPr>
      <w:r>
        <w:rPr>
          <w:rFonts w:hint="eastAsia" w:ascii="仿宋_GB2312" w:hAnsi="Calibri" w:eastAsia="仿宋_GB2312" w:cs="仿宋_GB2312"/>
          <w:spacing w:val="-6"/>
          <w:kern w:val="2"/>
          <w:sz w:val="32"/>
          <w:szCs w:val="32"/>
          <w:lang w:val="en-US" w:eastAsia="zh-CN" w:bidi="ar"/>
        </w:rPr>
        <w:t>5、总平台与支付平台对接模块正式上线，2021年</w:t>
      </w:r>
      <w:r>
        <w:rPr>
          <w:rFonts w:hint="eastAsia" w:ascii="仿宋_GB2312" w:hAnsi="Calibri" w:cs="仿宋_GB2312"/>
          <w:spacing w:val="-6"/>
          <w:kern w:val="2"/>
          <w:sz w:val="32"/>
          <w:szCs w:val="32"/>
          <w:lang w:val="en-US" w:eastAsia="zh-CN" w:bidi="ar"/>
        </w:rPr>
        <w:t>5</w:t>
      </w:r>
      <w:r>
        <w:rPr>
          <w:rFonts w:hint="eastAsia" w:ascii="仿宋_GB2312" w:hAnsi="Calibri" w:eastAsia="仿宋_GB2312" w:cs="仿宋_GB2312"/>
          <w:spacing w:val="-6"/>
          <w:kern w:val="2"/>
          <w:sz w:val="32"/>
          <w:szCs w:val="32"/>
          <w:lang w:val="en-US" w:eastAsia="zh-CN" w:bidi="ar"/>
        </w:rPr>
        <w:t>月完成。（市公共资源交易中心、市财政局、</w:t>
      </w:r>
      <w:r>
        <w:rPr>
          <w:rFonts w:hint="eastAsia" w:ascii="仿宋_GB2312" w:hAnsi="仿宋" w:eastAsia="仿宋_GB2312" w:cs="仿宋_GB2312"/>
          <w:spacing w:val="-6"/>
          <w:kern w:val="2"/>
          <w:sz w:val="32"/>
          <w:szCs w:val="32"/>
          <w:lang w:val="en-US" w:eastAsia="zh-CN" w:bidi="ar"/>
        </w:rPr>
        <w:t>市住房城乡建设管理委、</w:t>
      </w:r>
      <w:r>
        <w:rPr>
          <w:rFonts w:hint="eastAsia" w:ascii="仿宋_GB2312" w:hAnsi="Calibri" w:eastAsia="仿宋_GB2312" w:cs="仿宋_GB2312"/>
          <w:spacing w:val="-6"/>
          <w:kern w:val="2"/>
          <w:sz w:val="32"/>
          <w:szCs w:val="32"/>
          <w:lang w:val="en-US" w:eastAsia="zh-CN" w:bidi="ar"/>
        </w:rPr>
        <w:t>市交通委、</w:t>
      </w:r>
      <w:r>
        <w:rPr>
          <w:rFonts w:hint="eastAsia" w:ascii="仿宋_GB2312" w:hAnsi="仿宋" w:eastAsia="仿宋_GB2312" w:cs="仿宋_GB2312"/>
          <w:spacing w:val="-6"/>
          <w:kern w:val="2"/>
          <w:sz w:val="32"/>
          <w:szCs w:val="32"/>
          <w:lang w:val="en-US" w:eastAsia="zh-CN" w:bidi="ar"/>
        </w:rPr>
        <w:t>市公共资源交易中心</w:t>
      </w:r>
      <w:r>
        <w:rPr>
          <w:rFonts w:hint="eastAsia" w:ascii="仿宋_GB2312" w:hAnsi="Calibri" w:eastAsia="仿宋_GB2312" w:cs="仿宋_GB2312"/>
          <w:spacing w:val="-6"/>
          <w:kern w:val="2"/>
          <w:sz w:val="32"/>
          <w:szCs w:val="32"/>
          <w:lang w:val="en-US" w:eastAsia="zh-CN" w:bidi="ar"/>
        </w:rPr>
        <w:t>建设工程招投标分中心、政府采购分中心）</w:t>
      </w:r>
    </w:p>
    <w:p>
      <w:pPr>
        <w:keepNext w:val="0"/>
        <w:keepLines w:val="0"/>
        <w:widowControl w:val="0"/>
        <w:suppressLineNumbers w:val="0"/>
        <w:spacing w:before="0" w:beforeAutospacing="0" w:after="0" w:afterAutospacing="0" w:line="580" w:lineRule="exact"/>
        <w:ind w:left="640" w:right="0"/>
        <w:jc w:val="both"/>
        <w:rPr>
          <w:rFonts w:hint="eastAsia" w:ascii="黑体" w:hAnsi="宋体" w:eastAsia="黑体" w:cs="黑体"/>
          <w:kern w:val="2"/>
          <w:sz w:val="32"/>
          <w:szCs w:val="32"/>
        </w:rPr>
      </w:pPr>
      <w:r>
        <w:rPr>
          <w:rFonts w:hint="eastAsia" w:ascii="黑体" w:hAnsi="宋体" w:eastAsia="黑体" w:cs="黑体"/>
          <w:spacing w:val="-6"/>
          <w:kern w:val="2"/>
          <w:sz w:val="32"/>
          <w:szCs w:val="32"/>
          <w:lang w:val="en-US" w:eastAsia="zh-CN" w:bidi="ar"/>
        </w:rPr>
        <w:t>六、组织保障</w:t>
      </w:r>
    </w:p>
    <w:p>
      <w:pPr>
        <w:keepNext w:val="0"/>
        <w:keepLines w:val="0"/>
        <w:widowControl w:val="0"/>
        <w:suppressLineNumbers w:val="0"/>
        <w:spacing w:before="0" w:beforeAutospacing="0" w:after="0" w:afterAutospacing="0" w:line="580" w:lineRule="exact"/>
        <w:ind w:left="0" w:right="0" w:firstLine="616" w:firstLineChars="200"/>
        <w:jc w:val="both"/>
        <w:rPr>
          <w:rFonts w:hint="eastAsia" w:ascii="仿宋_GB2312" w:eastAsia="仿宋_GB2312" w:cs="仿宋_GB2312"/>
          <w:kern w:val="2"/>
          <w:sz w:val="32"/>
          <w:szCs w:val="32"/>
        </w:rPr>
      </w:pPr>
      <w:r>
        <w:rPr>
          <w:rFonts w:hint="eastAsia" w:ascii="仿宋_GB2312" w:hAnsi="Calibri" w:eastAsia="仿宋_GB2312" w:cs="仿宋_GB2312"/>
          <w:spacing w:val="-6"/>
          <w:kern w:val="2"/>
          <w:sz w:val="32"/>
          <w:szCs w:val="32"/>
          <w:lang w:val="en-US" w:eastAsia="zh-CN" w:bidi="ar"/>
        </w:rPr>
        <w:t>市发展改革委负责牵头抓总，会同相关部门和单位制定对接方案，统筹指导和督促落实对接工作。</w:t>
      </w:r>
    </w:p>
    <w:p>
      <w:pPr>
        <w:keepNext w:val="0"/>
        <w:keepLines w:val="0"/>
        <w:widowControl w:val="0"/>
        <w:suppressLineNumbers w:val="0"/>
        <w:spacing w:before="0" w:beforeAutospacing="0" w:after="0" w:afterAutospacing="0" w:line="580" w:lineRule="exact"/>
        <w:ind w:left="0" w:right="0" w:firstLine="616" w:firstLineChars="200"/>
        <w:jc w:val="both"/>
        <w:rPr>
          <w:rFonts w:hint="eastAsia" w:ascii="仿宋_GB2312" w:eastAsia="仿宋_GB2312" w:cs="仿宋_GB2312"/>
          <w:kern w:val="2"/>
          <w:sz w:val="32"/>
          <w:szCs w:val="32"/>
        </w:rPr>
      </w:pPr>
      <w:r>
        <w:rPr>
          <w:rFonts w:hint="eastAsia" w:ascii="仿宋_GB2312" w:hAnsi="Calibri" w:eastAsia="仿宋_GB2312" w:cs="仿宋_GB2312"/>
          <w:spacing w:val="-6"/>
          <w:kern w:val="2"/>
          <w:sz w:val="32"/>
          <w:szCs w:val="32"/>
          <w:lang w:val="en-US" w:eastAsia="zh-CN" w:bidi="ar"/>
        </w:rPr>
        <w:t>市财政局、市住房城乡建设管理委、市交通委、市公共资源交易中心及建设工程招投标分中心、政府采购分中心按照任务分工，指定专人落实对接方案。</w:t>
      </w:r>
    </w:p>
    <w:p>
      <w:pPr>
        <w:keepNext w:val="0"/>
        <w:keepLines w:val="0"/>
        <w:widowControl w:val="0"/>
        <w:suppressLineNumbers w:val="0"/>
        <w:spacing w:before="0" w:beforeAutospacing="0" w:after="0" w:afterAutospacing="0" w:line="580" w:lineRule="exact"/>
        <w:ind w:left="0" w:right="0" w:firstLine="616" w:firstLineChars="200"/>
        <w:jc w:val="both"/>
        <w:rPr>
          <w:rFonts w:hint="eastAsia" w:ascii="仿宋_GB2312" w:eastAsia="仿宋_GB2312" w:cs="仿宋_GB2312"/>
          <w:kern w:val="2"/>
          <w:sz w:val="32"/>
          <w:szCs w:val="32"/>
        </w:rPr>
      </w:pPr>
      <w:r>
        <w:rPr>
          <w:rFonts w:hint="eastAsia" w:ascii="仿宋_GB2312" w:hAnsi="Calibri" w:eastAsia="仿宋_GB2312" w:cs="仿宋_GB2312"/>
          <w:spacing w:val="-6"/>
          <w:kern w:val="2"/>
          <w:sz w:val="32"/>
          <w:szCs w:val="32"/>
          <w:lang w:val="en-US" w:eastAsia="zh-CN" w:bidi="ar"/>
        </w:rPr>
        <w:t>市财政局、市公共资源交易中心及建设工程招投标分中心、政府采购分中心负责推进统一支付模块系统建设。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FD404"/>
    <w:multiLevelType w:val="multilevel"/>
    <w:tmpl w:val="DFFFD404"/>
    <w:lvl w:ilvl="0" w:tentative="0">
      <w:start w:val="1"/>
      <w:numFmt w:val="japaneseCounting"/>
      <w:lvlText w:val="%1、"/>
      <w:lvlJc w:val="left"/>
      <w:pPr>
        <w:tabs>
          <w:tab w:val="left" w:pos="0"/>
        </w:tabs>
        <w:ind w:left="1360" w:hanging="720"/>
      </w:pPr>
      <w:rPr>
        <w:rFonts w:hint="default" w:ascii="Times New Roman" w:hAnsi="Times New Roman" w:cs="Times New Roman"/>
      </w:rPr>
    </w:lvl>
    <w:lvl w:ilvl="1" w:tentative="0">
      <w:start w:val="1"/>
      <w:numFmt w:val="lowerLetter"/>
      <w:lvlText w:val="%2)"/>
      <w:lvlJc w:val="left"/>
      <w:pPr>
        <w:tabs>
          <w:tab w:val="left" w:pos="0"/>
        </w:tabs>
        <w:ind w:left="1480" w:hanging="420"/>
      </w:pPr>
      <w:rPr>
        <w:rFonts w:hint="default" w:ascii="Times New Roman" w:hAnsi="Times New Roman" w:cs="Times New Roman"/>
      </w:rPr>
    </w:lvl>
    <w:lvl w:ilvl="2" w:tentative="0">
      <w:start w:val="1"/>
      <w:numFmt w:val="lowerRoman"/>
      <w:lvlText w:val="%3."/>
      <w:lvlJc w:val="right"/>
      <w:pPr>
        <w:tabs>
          <w:tab w:val="left" w:pos="0"/>
        </w:tabs>
        <w:ind w:left="1900" w:hanging="420"/>
      </w:pPr>
      <w:rPr>
        <w:rFonts w:hint="default" w:ascii="Times New Roman" w:hAnsi="Times New Roman" w:cs="Times New Roman"/>
      </w:rPr>
    </w:lvl>
    <w:lvl w:ilvl="3" w:tentative="0">
      <w:start w:val="1"/>
      <w:numFmt w:val="decimal"/>
      <w:lvlText w:val="%4."/>
      <w:lvlJc w:val="left"/>
      <w:pPr>
        <w:tabs>
          <w:tab w:val="left" w:pos="0"/>
        </w:tabs>
        <w:ind w:left="2320" w:hanging="420"/>
      </w:pPr>
      <w:rPr>
        <w:rFonts w:hint="default" w:ascii="Times New Roman" w:hAnsi="Times New Roman" w:cs="Times New Roman"/>
      </w:rPr>
    </w:lvl>
    <w:lvl w:ilvl="4" w:tentative="0">
      <w:start w:val="1"/>
      <w:numFmt w:val="lowerLetter"/>
      <w:lvlText w:val="%5)"/>
      <w:lvlJc w:val="left"/>
      <w:pPr>
        <w:tabs>
          <w:tab w:val="left" w:pos="0"/>
        </w:tabs>
        <w:ind w:left="2740" w:hanging="420"/>
      </w:pPr>
      <w:rPr>
        <w:rFonts w:hint="default" w:ascii="Times New Roman" w:hAnsi="Times New Roman" w:cs="Times New Roman"/>
      </w:rPr>
    </w:lvl>
    <w:lvl w:ilvl="5" w:tentative="0">
      <w:start w:val="1"/>
      <w:numFmt w:val="lowerRoman"/>
      <w:lvlText w:val="%6."/>
      <w:lvlJc w:val="right"/>
      <w:pPr>
        <w:tabs>
          <w:tab w:val="left" w:pos="0"/>
        </w:tabs>
        <w:ind w:left="3160" w:hanging="420"/>
      </w:pPr>
      <w:rPr>
        <w:rFonts w:hint="default" w:ascii="Times New Roman" w:hAnsi="Times New Roman" w:cs="Times New Roman"/>
      </w:rPr>
    </w:lvl>
    <w:lvl w:ilvl="6" w:tentative="0">
      <w:start w:val="1"/>
      <w:numFmt w:val="decimal"/>
      <w:lvlText w:val="%7."/>
      <w:lvlJc w:val="left"/>
      <w:pPr>
        <w:tabs>
          <w:tab w:val="left" w:pos="0"/>
        </w:tabs>
        <w:ind w:left="3580" w:hanging="420"/>
      </w:pPr>
      <w:rPr>
        <w:rFonts w:hint="default" w:ascii="Times New Roman" w:hAnsi="Times New Roman" w:cs="Times New Roman"/>
      </w:rPr>
    </w:lvl>
    <w:lvl w:ilvl="7" w:tentative="0">
      <w:start w:val="1"/>
      <w:numFmt w:val="lowerLetter"/>
      <w:lvlText w:val="%8)"/>
      <w:lvlJc w:val="left"/>
      <w:pPr>
        <w:tabs>
          <w:tab w:val="left" w:pos="0"/>
        </w:tabs>
        <w:ind w:left="4000" w:hanging="420"/>
      </w:pPr>
      <w:rPr>
        <w:rFonts w:hint="default" w:ascii="Times New Roman" w:hAnsi="Times New Roman" w:cs="Times New Roman"/>
      </w:rPr>
    </w:lvl>
    <w:lvl w:ilvl="8" w:tentative="0">
      <w:start w:val="1"/>
      <w:numFmt w:val="lowerRoman"/>
      <w:lvlText w:val="%9."/>
      <w:lvlJc w:val="right"/>
      <w:pPr>
        <w:tabs>
          <w:tab w:val="left" w:pos="0"/>
        </w:tabs>
        <w:ind w:left="4420" w:hanging="420"/>
      </w:pPr>
      <w:rPr>
        <w:rFonts w:hint="default" w:ascii="Times New Roman" w:hAnsi="Times New Roman" w:cs="Times New Roman"/>
      </w:rPr>
    </w:lvl>
  </w:abstractNum>
  <w:abstractNum w:abstractNumId="1">
    <w:nsid w:val="FF3C2D34"/>
    <w:multiLevelType w:val="multilevel"/>
    <w:tmpl w:val="FF3C2D34"/>
    <w:lvl w:ilvl="0" w:tentative="0">
      <w:start w:val="1"/>
      <w:numFmt w:val="decimal"/>
      <w:lvlText w:val="%1、"/>
      <w:lvlJc w:val="left"/>
      <w:pPr>
        <w:tabs>
          <w:tab w:val="left" w:pos="0"/>
        </w:tabs>
        <w:ind w:left="1430" w:hanging="720"/>
      </w:pPr>
      <w:rPr>
        <w:rFonts w:hint="default" w:ascii="Times New Roman" w:hAnsi="Times New Roman" w:cs="Times New Roman"/>
      </w:rPr>
    </w:lvl>
    <w:lvl w:ilvl="1" w:tentative="0">
      <w:start w:val="1"/>
      <w:numFmt w:val="lowerLetter"/>
      <w:lvlText w:val="%2)"/>
      <w:lvlJc w:val="left"/>
      <w:pPr>
        <w:tabs>
          <w:tab w:val="left" w:pos="0"/>
        </w:tabs>
        <w:ind w:left="1547" w:hanging="420"/>
      </w:pPr>
      <w:rPr>
        <w:rFonts w:hint="default" w:ascii="Times New Roman" w:hAnsi="Times New Roman" w:cs="Times New Roman"/>
      </w:rPr>
    </w:lvl>
    <w:lvl w:ilvl="2" w:tentative="0">
      <w:start w:val="1"/>
      <w:numFmt w:val="lowerRoman"/>
      <w:lvlText w:val="%3."/>
      <w:lvlJc w:val="right"/>
      <w:pPr>
        <w:tabs>
          <w:tab w:val="left" w:pos="0"/>
        </w:tabs>
        <w:ind w:left="1967" w:hanging="420"/>
      </w:pPr>
      <w:rPr>
        <w:rFonts w:hint="default" w:ascii="Times New Roman" w:hAnsi="Times New Roman" w:cs="Times New Roman"/>
      </w:rPr>
    </w:lvl>
    <w:lvl w:ilvl="3" w:tentative="0">
      <w:start w:val="1"/>
      <w:numFmt w:val="decimal"/>
      <w:lvlText w:val="%4."/>
      <w:lvlJc w:val="left"/>
      <w:pPr>
        <w:tabs>
          <w:tab w:val="left" w:pos="0"/>
        </w:tabs>
        <w:ind w:left="2387" w:hanging="420"/>
      </w:pPr>
      <w:rPr>
        <w:rFonts w:hint="default" w:ascii="Times New Roman" w:hAnsi="Times New Roman" w:cs="Times New Roman"/>
      </w:rPr>
    </w:lvl>
    <w:lvl w:ilvl="4" w:tentative="0">
      <w:start w:val="1"/>
      <w:numFmt w:val="lowerLetter"/>
      <w:lvlText w:val="%5)"/>
      <w:lvlJc w:val="left"/>
      <w:pPr>
        <w:tabs>
          <w:tab w:val="left" w:pos="0"/>
        </w:tabs>
        <w:ind w:left="2807" w:hanging="420"/>
      </w:pPr>
      <w:rPr>
        <w:rFonts w:hint="default" w:ascii="Times New Roman" w:hAnsi="Times New Roman" w:cs="Times New Roman"/>
      </w:rPr>
    </w:lvl>
    <w:lvl w:ilvl="5" w:tentative="0">
      <w:start w:val="1"/>
      <w:numFmt w:val="lowerRoman"/>
      <w:lvlText w:val="%6."/>
      <w:lvlJc w:val="right"/>
      <w:pPr>
        <w:tabs>
          <w:tab w:val="left" w:pos="0"/>
        </w:tabs>
        <w:ind w:left="3227" w:hanging="420"/>
      </w:pPr>
      <w:rPr>
        <w:rFonts w:hint="default" w:ascii="Times New Roman" w:hAnsi="Times New Roman" w:cs="Times New Roman"/>
      </w:rPr>
    </w:lvl>
    <w:lvl w:ilvl="6" w:tentative="0">
      <w:start w:val="1"/>
      <w:numFmt w:val="decimal"/>
      <w:lvlText w:val="%7."/>
      <w:lvlJc w:val="left"/>
      <w:pPr>
        <w:tabs>
          <w:tab w:val="left" w:pos="0"/>
        </w:tabs>
        <w:ind w:left="3647" w:hanging="420"/>
      </w:pPr>
      <w:rPr>
        <w:rFonts w:hint="default" w:ascii="Times New Roman" w:hAnsi="Times New Roman" w:cs="Times New Roman"/>
      </w:rPr>
    </w:lvl>
    <w:lvl w:ilvl="7" w:tentative="0">
      <w:start w:val="1"/>
      <w:numFmt w:val="lowerLetter"/>
      <w:lvlText w:val="%8)"/>
      <w:lvlJc w:val="left"/>
      <w:pPr>
        <w:tabs>
          <w:tab w:val="left" w:pos="0"/>
        </w:tabs>
        <w:ind w:left="4067" w:hanging="420"/>
      </w:pPr>
      <w:rPr>
        <w:rFonts w:hint="default" w:ascii="Times New Roman" w:hAnsi="Times New Roman" w:cs="Times New Roman"/>
      </w:rPr>
    </w:lvl>
    <w:lvl w:ilvl="8" w:tentative="0">
      <w:start w:val="1"/>
      <w:numFmt w:val="lowerRoman"/>
      <w:lvlText w:val="%9."/>
      <w:lvlJc w:val="right"/>
      <w:pPr>
        <w:tabs>
          <w:tab w:val="left" w:pos="0"/>
        </w:tabs>
        <w:ind w:left="4487" w:hanging="420"/>
      </w:pPr>
      <w:rPr>
        <w:rFonts w:hint="default"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0039C"/>
    <w:rsid w:val="3B700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List Paragraph"/>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2021-03-19T07:29:00Z</dcterms:created>
  <dc:creator>Administrator</dc:creator>
  <cp:lastModifiedBy>Administrator</cp:lastModifiedBy>
  <dcterms:modified xsi:type="dcterms:W3CDTF">2021-03-19T07:30:50Z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